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ocument.xml" ContentType="application/vnd.openxmlformats-officedocument.wordprocessingml.document.main+xml"/>
  <Override PartName="/word/drawings/drawing1.xml" ContentType="application/vnd.openxmlformats-officedocument.drawingml.chartshap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ascii="黑体" w:eastAsia="黑体"/>
          <w:sz w:val="32"/>
          <w:szCs w:val="32"/>
        </w:rPr>
      </w:pPr>
      <w:bookmarkStart w:id="0" w:name="_Toc438627720"/>
      <w:bookmarkStart w:id="1" w:name="_Toc406571591"/>
      <w:bookmarkStart w:id="2" w:name="_Toc438627725"/>
      <w:bookmarkStart w:id="3" w:name="_Toc438627726"/>
      <w:bookmarkStart w:id="4" w:name="_Toc438627730"/>
      <w:permStart w:id="0" w:edGrp="everyone"/>
      <w:r>
        <w:rPr>
          <w:rFonts w:ascii="黑体" w:eastAsia="黑体"/>
          <w:sz w:val="32"/>
          <w:szCs w:val="32"/>
        </w:rPr>
        <w:drawing>
          <wp:inline distT="0" distB="0" distL="0" distR="0">
            <wp:extent cx="1804670" cy="1774825"/>
            <wp:effectExtent l="0" t="0" r="508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843257" cy="1813040"/>
                    </a:xfrm>
                    <a:prstGeom prst="rect">
                      <a:avLst/>
                    </a:prstGeom>
                  </pic:spPr>
                </pic:pic>
              </a:graphicData>
            </a:graphic>
          </wp:inline>
        </w:drawing>
      </w:r>
      <w:permEnd w:id="0"/>
    </w:p>
    <w:p>
      <w:pPr>
        <w:spacing w:line="240" w:lineRule="exact"/>
        <w:jc w:val="left"/>
        <w:rPr>
          <w:rFonts w:ascii="黑体" w:eastAsia="黑体"/>
          <w:sz w:val="32"/>
          <w:szCs w:val="32"/>
        </w:rPr>
      </w:pPr>
    </w:p>
    <w:p>
      <w:pPr>
        <w:spacing w:line="240" w:lineRule="exact"/>
        <w:jc w:val="left"/>
        <w:rPr>
          <w:rFonts w:ascii="黑体" w:eastAsia="黑体"/>
          <w:sz w:val="32"/>
          <w:szCs w:val="32"/>
        </w:rPr>
      </w:pPr>
    </w:p>
    <w:p>
      <w:pPr>
        <w:jc w:val="center"/>
        <w:rPr>
          <w:rFonts w:ascii="黑体" w:eastAsia="黑体"/>
          <w:sz w:val="56"/>
          <w:szCs w:val="56"/>
        </w:rPr>
      </w:pPr>
      <w:r>
        <w:rPr>
          <w:rFonts w:hint="eastAsia" w:ascii="黑体" w:eastAsia="黑体"/>
          <w:sz w:val="56"/>
          <w:szCs w:val="56"/>
        </w:rPr>
        <w:t>甘肃畜牧工</w:t>
      </w:r>
      <w:permStart w:id="1" w:edGrp="everyone"/>
      <w:permEnd w:id="1"/>
      <w:r>
        <w:rPr>
          <w:rFonts w:hint="eastAsia" w:ascii="黑体" w:eastAsia="黑体"/>
          <w:sz w:val="56"/>
          <w:szCs w:val="56"/>
        </w:rPr>
        <w:t>程职业</w:t>
      </w:r>
      <w:bookmarkStart w:id="76" w:name="_GoBack"/>
      <w:bookmarkEnd w:id="76"/>
      <w:r>
        <w:rPr>
          <w:rFonts w:hint="eastAsia" w:ascii="黑体" w:eastAsia="黑体"/>
          <w:sz w:val="56"/>
          <w:szCs w:val="56"/>
        </w:rPr>
        <w:t>技术学院</w:t>
      </w:r>
    </w:p>
    <w:p>
      <w:pPr>
        <w:jc w:val="center"/>
        <w:rPr>
          <w:rFonts w:ascii="黑体" w:eastAsia="黑体"/>
          <w:sz w:val="44"/>
          <w:szCs w:val="44"/>
        </w:rPr>
      </w:pPr>
      <w:r>
        <w:rPr>
          <w:rFonts w:ascii="黑体" w:eastAsia="黑体"/>
          <w:sz w:val="44"/>
          <w:szCs w:val="44"/>
        </w:rPr>
        <w:t>201</w:t>
      </w:r>
      <w:r>
        <w:rPr>
          <w:rFonts w:hint="eastAsia" w:ascii="黑体" w:eastAsia="黑体"/>
          <w:sz w:val="44"/>
          <w:szCs w:val="44"/>
        </w:rPr>
        <w:t>8届毕业生就业质量报告</w:t>
      </w:r>
    </w:p>
    <w:p>
      <w:pPr>
        <w:spacing w:line="240" w:lineRule="exact"/>
        <w:jc w:val="left"/>
        <w:rPr>
          <w:rFonts w:ascii="黑体" w:eastAsia="黑体"/>
          <w:sz w:val="32"/>
          <w:szCs w:val="32"/>
        </w:rPr>
      </w:pPr>
    </w:p>
    <w:p>
      <w:pPr>
        <w:spacing w:line="240" w:lineRule="exact"/>
        <w:jc w:val="left"/>
        <w:rPr>
          <w:rFonts w:ascii="黑体" w:eastAsia="黑体"/>
          <w:sz w:val="32"/>
          <w:szCs w:val="32"/>
        </w:rPr>
      </w:pPr>
    </w:p>
    <w:p>
      <w:pPr>
        <w:spacing w:line="240" w:lineRule="exact"/>
        <w:jc w:val="left"/>
        <w:rPr>
          <w:rFonts w:ascii="黑体" w:eastAsia="黑体"/>
          <w:sz w:val="32"/>
          <w:szCs w:val="32"/>
        </w:rPr>
      </w:pPr>
    </w:p>
    <w:p>
      <w:pPr>
        <w:spacing w:line="240" w:lineRule="exact"/>
        <w:jc w:val="left"/>
        <w:rPr>
          <w:rFonts w:ascii="黑体" w:eastAsia="黑体"/>
          <w:sz w:val="32"/>
          <w:szCs w:val="32"/>
        </w:rPr>
      </w:pPr>
    </w:p>
    <w:p>
      <w:pPr>
        <w:spacing w:line="240" w:lineRule="exact"/>
        <w:jc w:val="left"/>
        <w:rPr>
          <w:rFonts w:ascii="黑体" w:eastAsia="黑体"/>
          <w:sz w:val="32"/>
          <w:szCs w:val="32"/>
        </w:rPr>
      </w:pPr>
    </w:p>
    <w:p>
      <w:pPr>
        <w:spacing w:line="240" w:lineRule="exact"/>
        <w:jc w:val="left"/>
        <w:rPr>
          <w:rFonts w:ascii="黑体" w:eastAsia="黑体"/>
          <w:sz w:val="32"/>
          <w:szCs w:val="32"/>
        </w:rPr>
      </w:pPr>
    </w:p>
    <w:p>
      <w:pPr>
        <w:spacing w:line="240" w:lineRule="exact"/>
        <w:jc w:val="left"/>
        <w:rPr>
          <w:rFonts w:ascii="黑体" w:eastAsia="黑体"/>
          <w:sz w:val="32"/>
          <w:szCs w:val="32"/>
        </w:rPr>
      </w:pPr>
    </w:p>
    <w:p>
      <w:pPr>
        <w:spacing w:line="240" w:lineRule="exact"/>
        <w:jc w:val="left"/>
        <w:rPr>
          <w:rFonts w:ascii="黑体" w:eastAsia="黑体"/>
          <w:sz w:val="32"/>
          <w:szCs w:val="32"/>
        </w:rPr>
      </w:pPr>
      <w:r>
        <w:drawing>
          <wp:anchor distT="0" distB="0" distL="114300" distR="114300" simplePos="0" relativeHeight="251720704" behindDoc="1" locked="0" layoutInCell="1" allowOverlap="1">
            <wp:simplePos x="0" y="0"/>
            <wp:positionH relativeFrom="column">
              <wp:posOffset>-900430</wp:posOffset>
            </wp:positionH>
            <wp:positionV relativeFrom="paragraph">
              <wp:posOffset>-4445</wp:posOffset>
            </wp:positionV>
            <wp:extent cx="7572375" cy="3248025"/>
            <wp:effectExtent l="0" t="0" r="9525" b="9525"/>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7572375" cy="3248025"/>
                    </a:xfrm>
                    <a:prstGeom prst="rect">
                      <a:avLst/>
                    </a:prstGeom>
                  </pic:spPr>
                </pic:pic>
              </a:graphicData>
            </a:graphic>
          </wp:anchor>
        </w:drawing>
      </w:r>
    </w:p>
    <w:p>
      <w:pPr>
        <w:spacing w:line="240" w:lineRule="exact"/>
        <w:jc w:val="left"/>
        <w:rPr>
          <w:rFonts w:ascii="黑体" w:eastAsia="黑体"/>
          <w:sz w:val="32"/>
          <w:szCs w:val="32"/>
        </w:rPr>
      </w:pPr>
    </w:p>
    <w:p>
      <w:pPr>
        <w:spacing w:line="240" w:lineRule="exact"/>
        <w:jc w:val="left"/>
        <w:rPr>
          <w:rFonts w:ascii="黑体" w:eastAsia="黑体"/>
          <w:sz w:val="32"/>
          <w:szCs w:val="32"/>
        </w:rPr>
      </w:pPr>
    </w:p>
    <w:p>
      <w:pPr>
        <w:spacing w:line="240" w:lineRule="exact"/>
        <w:jc w:val="left"/>
        <w:rPr>
          <w:rFonts w:ascii="黑体" w:eastAsia="黑体"/>
          <w:sz w:val="32"/>
          <w:szCs w:val="32"/>
        </w:rPr>
      </w:pPr>
    </w:p>
    <w:p>
      <w:pPr>
        <w:spacing w:line="240" w:lineRule="exact"/>
        <w:jc w:val="left"/>
        <w:rPr>
          <w:rFonts w:ascii="黑体" w:eastAsia="黑体"/>
          <w:sz w:val="32"/>
          <w:szCs w:val="32"/>
        </w:rPr>
      </w:pPr>
    </w:p>
    <w:p>
      <w:pPr>
        <w:spacing w:line="240" w:lineRule="exact"/>
        <w:jc w:val="left"/>
        <w:rPr>
          <w:rFonts w:ascii="黑体" w:eastAsia="黑体"/>
          <w:sz w:val="32"/>
          <w:szCs w:val="32"/>
        </w:rPr>
      </w:pPr>
    </w:p>
    <w:p>
      <w:pPr>
        <w:spacing w:line="240" w:lineRule="exact"/>
        <w:jc w:val="left"/>
        <w:rPr>
          <w:rFonts w:ascii="黑体" w:eastAsia="黑体"/>
          <w:sz w:val="32"/>
          <w:szCs w:val="32"/>
        </w:rPr>
      </w:pPr>
    </w:p>
    <w:p>
      <w:pPr>
        <w:spacing w:line="240" w:lineRule="exact"/>
        <w:jc w:val="left"/>
        <w:rPr>
          <w:rFonts w:ascii="黑体" w:eastAsia="黑体"/>
          <w:sz w:val="32"/>
          <w:szCs w:val="32"/>
        </w:rPr>
      </w:pPr>
    </w:p>
    <w:p>
      <w:pPr>
        <w:spacing w:line="240" w:lineRule="exact"/>
        <w:jc w:val="left"/>
        <w:rPr>
          <w:rFonts w:ascii="黑体" w:eastAsia="黑体"/>
          <w:sz w:val="32"/>
          <w:szCs w:val="32"/>
        </w:rPr>
      </w:pPr>
    </w:p>
    <w:p>
      <w:pPr>
        <w:spacing w:line="240" w:lineRule="exact"/>
        <w:jc w:val="left"/>
        <w:rPr>
          <w:rFonts w:ascii="黑体" w:eastAsia="黑体"/>
          <w:sz w:val="32"/>
          <w:szCs w:val="32"/>
        </w:rPr>
      </w:pPr>
    </w:p>
    <w:p>
      <w:pPr>
        <w:spacing w:line="240" w:lineRule="exact"/>
        <w:jc w:val="left"/>
        <w:rPr>
          <w:rFonts w:ascii="黑体" w:eastAsia="黑体"/>
          <w:sz w:val="32"/>
          <w:szCs w:val="32"/>
        </w:rPr>
      </w:pPr>
    </w:p>
    <w:p>
      <w:pPr>
        <w:spacing w:line="240" w:lineRule="exact"/>
        <w:jc w:val="left"/>
        <w:rPr>
          <w:rFonts w:ascii="黑体" w:eastAsia="黑体"/>
          <w:sz w:val="32"/>
          <w:szCs w:val="32"/>
        </w:rPr>
      </w:pPr>
    </w:p>
    <w:p>
      <w:pPr>
        <w:spacing w:line="240" w:lineRule="exact"/>
        <w:jc w:val="left"/>
        <w:rPr>
          <w:rFonts w:ascii="黑体" w:eastAsia="黑体"/>
          <w:sz w:val="32"/>
          <w:szCs w:val="32"/>
        </w:rPr>
      </w:pPr>
    </w:p>
    <w:p>
      <w:pPr>
        <w:spacing w:line="240" w:lineRule="exact"/>
        <w:jc w:val="left"/>
        <w:rPr>
          <w:rFonts w:ascii="黑体" w:eastAsia="黑体"/>
          <w:sz w:val="32"/>
          <w:szCs w:val="32"/>
        </w:rPr>
      </w:pPr>
    </w:p>
    <w:p>
      <w:pPr>
        <w:spacing w:line="240" w:lineRule="exact"/>
        <w:jc w:val="left"/>
        <w:rPr>
          <w:rFonts w:ascii="黑体" w:eastAsia="黑体"/>
          <w:sz w:val="32"/>
          <w:szCs w:val="32"/>
        </w:rPr>
      </w:pPr>
    </w:p>
    <w:p>
      <w:pPr>
        <w:spacing w:line="240" w:lineRule="exact"/>
        <w:jc w:val="left"/>
        <w:rPr>
          <w:rFonts w:ascii="黑体" w:eastAsia="黑体"/>
          <w:sz w:val="32"/>
          <w:szCs w:val="32"/>
        </w:rPr>
      </w:pPr>
    </w:p>
    <w:p>
      <w:pPr>
        <w:spacing w:line="240" w:lineRule="exact"/>
        <w:jc w:val="left"/>
        <w:rPr>
          <w:rFonts w:ascii="黑体" w:eastAsia="黑体"/>
          <w:sz w:val="32"/>
          <w:szCs w:val="32"/>
        </w:rPr>
      </w:pPr>
    </w:p>
    <w:p>
      <w:pPr>
        <w:spacing w:line="240" w:lineRule="exact"/>
        <w:jc w:val="left"/>
        <w:rPr>
          <w:rFonts w:ascii="黑体" w:eastAsia="黑体"/>
          <w:sz w:val="32"/>
          <w:szCs w:val="32"/>
        </w:rPr>
      </w:pPr>
    </w:p>
    <w:p>
      <w:pPr>
        <w:spacing w:line="240" w:lineRule="exact"/>
        <w:jc w:val="left"/>
        <w:rPr>
          <w:rFonts w:ascii="黑体" w:eastAsia="黑体"/>
          <w:sz w:val="32"/>
          <w:szCs w:val="32"/>
        </w:rPr>
      </w:pPr>
    </w:p>
    <w:p>
      <w:pPr>
        <w:spacing w:line="240" w:lineRule="exact"/>
        <w:jc w:val="left"/>
        <w:rPr>
          <w:rFonts w:ascii="黑体" w:eastAsia="黑体"/>
          <w:sz w:val="32"/>
          <w:szCs w:val="32"/>
        </w:rPr>
      </w:pPr>
    </w:p>
    <w:p>
      <w:pPr>
        <w:spacing w:line="240" w:lineRule="exact"/>
        <w:jc w:val="left"/>
        <w:rPr>
          <w:rFonts w:ascii="黑体" w:eastAsia="黑体"/>
          <w:sz w:val="32"/>
          <w:szCs w:val="32"/>
        </w:rPr>
      </w:pPr>
    </w:p>
    <w:p>
      <w:pPr>
        <w:spacing w:line="240" w:lineRule="exact"/>
        <w:jc w:val="left"/>
        <w:rPr>
          <w:rFonts w:ascii="黑体" w:eastAsia="黑体"/>
          <w:sz w:val="32"/>
          <w:szCs w:val="32"/>
        </w:rPr>
      </w:pPr>
    </w:p>
    <w:p>
      <w:pPr>
        <w:jc w:val="center"/>
        <w:rPr>
          <w:rFonts w:ascii="黑体" w:eastAsia="黑体"/>
          <w:sz w:val="32"/>
          <w:szCs w:val="32"/>
        </w:rPr>
      </w:pPr>
      <w:r>
        <w:rPr>
          <w:rFonts w:hint="eastAsia" w:ascii="黑体" w:eastAsia="黑体"/>
          <w:sz w:val="32"/>
          <w:szCs w:val="32"/>
        </w:rPr>
        <w:t>甘肃畜牧工程职业技术学院 编</w:t>
      </w:r>
    </w:p>
    <w:p>
      <w:pPr>
        <w:spacing w:line="240" w:lineRule="exact"/>
        <w:jc w:val="center"/>
        <w:rPr>
          <w:rFonts w:ascii="黑体" w:eastAsia="黑体"/>
          <w:sz w:val="32"/>
          <w:szCs w:val="32"/>
        </w:rPr>
      </w:pPr>
    </w:p>
    <w:p>
      <w:pPr>
        <w:spacing w:line="240" w:lineRule="exact"/>
        <w:jc w:val="center"/>
        <w:rPr>
          <w:rFonts w:ascii="黑体" w:eastAsia="黑体"/>
          <w:sz w:val="32"/>
          <w:szCs w:val="32"/>
        </w:rPr>
      </w:pPr>
    </w:p>
    <w:p>
      <w:pPr>
        <w:pStyle w:val="31"/>
        <w:spacing w:before="0" w:line="240" w:lineRule="exact"/>
        <w:jc w:val="center"/>
        <w:rPr>
          <w:rFonts w:ascii="Calibri" w:hAnsi="Calibri" w:eastAsia="宋体" w:cs="Times New Roman"/>
          <w:b w:val="0"/>
          <w:bCs w:val="0"/>
          <w:color w:val="auto"/>
          <w:kern w:val="2"/>
          <w:sz w:val="21"/>
          <w:szCs w:val="22"/>
          <w:lang w:val="zh-CN"/>
        </w:rPr>
        <w:sectPr>
          <w:footerReference r:id="rId3" w:type="default"/>
          <w:pgSz w:w="11906" w:h="16838"/>
          <w:pgMar w:top="1474" w:right="1418" w:bottom="1418" w:left="1418" w:header="851" w:footer="992" w:gutter="0"/>
          <w:pgNumType w:start="1"/>
          <w:cols w:space="425" w:num="1"/>
          <w:docGrid w:type="lines" w:linePitch="312" w:charSpace="0"/>
        </w:sectPr>
      </w:pPr>
    </w:p>
    <w:sdt>
      <w:sdtPr>
        <w:rPr>
          <w:rFonts w:ascii="Calibri" w:hAnsi="Calibri" w:eastAsia="宋体" w:cs="Times New Roman"/>
          <w:b w:val="0"/>
          <w:bCs w:val="0"/>
          <w:color w:val="auto"/>
          <w:kern w:val="2"/>
          <w:sz w:val="21"/>
          <w:szCs w:val="22"/>
          <w:lang w:val="zh-CN"/>
        </w:rPr>
        <w:id w:val="1809801"/>
        <w:docPartObj>
          <w:docPartGallery w:val="Table of Contents"/>
          <w:docPartUnique/>
        </w:docPartObj>
      </w:sdtPr>
      <w:sdtEndPr>
        <w:rPr>
          <w:rFonts w:ascii="Calibri" w:hAnsi="Calibri" w:eastAsia="宋体" w:cs="Times New Roman"/>
          <w:b w:val="0"/>
          <w:bCs w:val="0"/>
          <w:color w:val="auto"/>
          <w:kern w:val="2"/>
          <w:sz w:val="21"/>
          <w:szCs w:val="22"/>
          <w:lang w:val="en-US"/>
        </w:rPr>
      </w:sdtEndPr>
      <w:sdtContent>
        <w:p>
          <w:pPr>
            <w:pStyle w:val="31"/>
            <w:spacing w:before="156" w:beforeLines="50" w:after="156" w:afterLines="50" w:line="480" w:lineRule="exact"/>
            <w:jc w:val="center"/>
            <w:rPr>
              <w:b w:val="0"/>
              <w:sz w:val="32"/>
              <w:szCs w:val="32"/>
            </w:rPr>
          </w:pPr>
          <w:r>
            <w:rPr>
              <w:color w:val="000000" w:themeColor="text1"/>
              <w:sz w:val="32"/>
              <w:szCs w:val="32"/>
              <w:lang w:val="zh-CN"/>
              <w14:textFill>
                <w14:solidFill>
                  <w14:schemeClr w14:val="tx1"/>
                </w14:solidFill>
              </w14:textFill>
            </w:rPr>
            <w:t>目</w:t>
          </w:r>
          <w:r>
            <w:rPr>
              <w:rFonts w:hint="eastAsia"/>
              <w:color w:val="000000" w:themeColor="text1"/>
              <w:sz w:val="32"/>
              <w:szCs w:val="32"/>
              <w:lang w:val="zh-CN"/>
              <w14:textFill>
                <w14:solidFill>
                  <w14:schemeClr w14:val="tx1"/>
                </w14:solidFill>
              </w14:textFill>
            </w:rPr>
            <w:t xml:space="preserve">         </w:t>
          </w:r>
          <w:r>
            <w:rPr>
              <w:color w:val="000000" w:themeColor="text1"/>
              <w:sz w:val="32"/>
              <w:szCs w:val="32"/>
              <w:lang w:val="zh-CN"/>
              <w14:textFill>
                <w14:solidFill>
                  <w14:schemeClr w14:val="tx1"/>
                </w14:solidFill>
              </w14:textFill>
            </w:rPr>
            <w:t>录</w:t>
          </w:r>
        </w:p>
        <w:p>
          <w:pPr>
            <w:pStyle w:val="13"/>
            <w:rPr>
              <w:rFonts w:asciiTheme="minorHAnsi" w:hAnsiTheme="minorHAnsi" w:eastAsiaTheme="minorEastAsia" w:cstheme="minorBidi"/>
            </w:rPr>
          </w:pPr>
          <w:r>
            <w:rPr>
              <w:sz w:val="28"/>
              <w:szCs w:val="28"/>
            </w:rPr>
            <w:fldChar w:fldCharType="begin"/>
          </w:r>
          <w:r>
            <w:rPr>
              <w:sz w:val="28"/>
              <w:szCs w:val="28"/>
            </w:rPr>
            <w:instrText xml:space="preserve"> TOC \o "1-3" \h \z \u </w:instrText>
          </w:r>
          <w:r>
            <w:rPr>
              <w:sz w:val="28"/>
              <w:szCs w:val="28"/>
            </w:rPr>
            <w:fldChar w:fldCharType="separate"/>
          </w:r>
          <w:r>
            <w:fldChar w:fldCharType="begin"/>
          </w:r>
          <w:r>
            <w:instrText xml:space="preserve"> HYPERLINK \l "_Toc533861901" </w:instrText>
          </w:r>
          <w:r>
            <w:fldChar w:fldCharType="separate"/>
          </w:r>
          <w:r>
            <w:rPr>
              <w:rStyle w:val="17"/>
              <w:rFonts w:hint="eastAsia"/>
            </w:rPr>
            <w:t>学院概况</w:t>
          </w:r>
          <w:r>
            <w:tab/>
          </w:r>
          <w:r>
            <w:fldChar w:fldCharType="begin"/>
          </w:r>
          <w:r>
            <w:instrText xml:space="preserve"> PAGEREF _Toc533861901 \h </w:instrText>
          </w:r>
          <w:r>
            <w:fldChar w:fldCharType="separate"/>
          </w:r>
          <w:r>
            <w:t>1</w:t>
          </w:r>
          <w:r>
            <w:fldChar w:fldCharType="end"/>
          </w:r>
          <w:r>
            <w:fldChar w:fldCharType="end"/>
          </w:r>
        </w:p>
        <w:p>
          <w:pPr>
            <w:pStyle w:val="13"/>
            <w:rPr>
              <w:rFonts w:asciiTheme="minorHAnsi" w:hAnsiTheme="minorHAnsi" w:eastAsiaTheme="minorEastAsia" w:cstheme="minorBidi"/>
            </w:rPr>
          </w:pPr>
          <w:r>
            <w:fldChar w:fldCharType="begin"/>
          </w:r>
          <w:r>
            <w:instrText xml:space="preserve"> HYPERLINK \l "_Toc533861902" </w:instrText>
          </w:r>
          <w:r>
            <w:fldChar w:fldCharType="separate"/>
          </w:r>
          <w:r>
            <w:rPr>
              <w:rStyle w:val="17"/>
              <w:rFonts w:hint="eastAsia" w:ascii="宋体" w:hAnsi="宋体"/>
              <w:b/>
            </w:rPr>
            <w:t>第一篇：毕业生就业基本情况</w:t>
          </w:r>
          <w:r>
            <w:tab/>
          </w:r>
          <w:r>
            <w:fldChar w:fldCharType="begin"/>
          </w:r>
          <w:r>
            <w:instrText xml:space="preserve"> PAGEREF _Toc533861902 \h </w:instrText>
          </w:r>
          <w:r>
            <w:fldChar w:fldCharType="separate"/>
          </w:r>
          <w:r>
            <w:t>1</w:t>
          </w:r>
          <w:r>
            <w:fldChar w:fldCharType="end"/>
          </w:r>
          <w:r>
            <w:fldChar w:fldCharType="end"/>
          </w:r>
        </w:p>
        <w:p>
          <w:pPr>
            <w:pStyle w:val="14"/>
            <w:tabs>
              <w:tab w:val="right" w:leader="dot" w:pos="9060"/>
            </w:tabs>
            <w:rPr>
              <w:rFonts w:asciiTheme="minorHAnsi" w:hAnsiTheme="minorHAnsi" w:eastAsiaTheme="minorEastAsia" w:cstheme="minorBidi"/>
            </w:rPr>
          </w:pPr>
          <w:r>
            <w:fldChar w:fldCharType="begin"/>
          </w:r>
          <w:r>
            <w:instrText xml:space="preserve"> HYPERLINK \l "_Toc533861903" </w:instrText>
          </w:r>
          <w:r>
            <w:fldChar w:fldCharType="separate"/>
          </w:r>
          <w:r>
            <w:rPr>
              <w:rStyle w:val="17"/>
              <w:rFonts w:hint="eastAsia"/>
            </w:rPr>
            <w:t>一、毕业生的规模</w:t>
          </w:r>
          <w:r>
            <w:tab/>
          </w:r>
          <w:r>
            <w:fldChar w:fldCharType="begin"/>
          </w:r>
          <w:r>
            <w:instrText xml:space="preserve"> PAGEREF _Toc533861903 \h </w:instrText>
          </w:r>
          <w:r>
            <w:fldChar w:fldCharType="separate"/>
          </w:r>
          <w:r>
            <w:t>1</w:t>
          </w:r>
          <w:r>
            <w:fldChar w:fldCharType="end"/>
          </w:r>
          <w:r>
            <w:fldChar w:fldCharType="end"/>
          </w:r>
        </w:p>
        <w:p>
          <w:pPr>
            <w:pStyle w:val="8"/>
            <w:tabs>
              <w:tab w:val="right" w:leader="dot" w:pos="9060"/>
            </w:tabs>
            <w:rPr>
              <w:rFonts w:asciiTheme="minorHAnsi" w:hAnsiTheme="minorHAnsi" w:eastAsiaTheme="minorEastAsia" w:cstheme="minorBidi"/>
            </w:rPr>
          </w:pPr>
          <w:r>
            <w:fldChar w:fldCharType="begin"/>
          </w:r>
          <w:r>
            <w:instrText xml:space="preserve"> HYPERLINK \l "_Toc533861904" </w:instrText>
          </w:r>
          <w:r>
            <w:fldChar w:fldCharType="separate"/>
          </w:r>
          <w:r>
            <w:rPr>
              <w:rStyle w:val="17"/>
              <w:rFonts w:hint="eastAsia"/>
            </w:rPr>
            <w:t>（一）总体规模</w:t>
          </w:r>
          <w:r>
            <w:tab/>
          </w:r>
          <w:r>
            <w:fldChar w:fldCharType="begin"/>
          </w:r>
          <w:r>
            <w:instrText xml:space="preserve"> PAGEREF _Toc533861904 \h </w:instrText>
          </w:r>
          <w:r>
            <w:fldChar w:fldCharType="separate"/>
          </w:r>
          <w:r>
            <w:t>1</w:t>
          </w:r>
          <w:r>
            <w:fldChar w:fldCharType="end"/>
          </w:r>
          <w:r>
            <w:fldChar w:fldCharType="end"/>
          </w:r>
        </w:p>
        <w:p>
          <w:pPr>
            <w:pStyle w:val="8"/>
            <w:tabs>
              <w:tab w:val="right" w:leader="dot" w:pos="9060"/>
            </w:tabs>
            <w:rPr>
              <w:rFonts w:asciiTheme="minorHAnsi" w:hAnsiTheme="minorHAnsi" w:eastAsiaTheme="minorEastAsia" w:cstheme="minorBidi"/>
            </w:rPr>
          </w:pPr>
          <w:r>
            <w:fldChar w:fldCharType="begin"/>
          </w:r>
          <w:r>
            <w:instrText xml:space="preserve"> HYPERLINK \l "_Toc533861905" </w:instrText>
          </w:r>
          <w:r>
            <w:fldChar w:fldCharType="separate"/>
          </w:r>
          <w:r>
            <w:rPr>
              <w:rStyle w:val="17"/>
              <w:rFonts w:hint="eastAsia"/>
            </w:rPr>
            <w:t>（二）各专业毕业生的分布</w:t>
          </w:r>
          <w:r>
            <w:tab/>
          </w:r>
          <w:r>
            <w:fldChar w:fldCharType="begin"/>
          </w:r>
          <w:r>
            <w:instrText xml:space="preserve"> PAGEREF _Toc533861905 \h </w:instrText>
          </w:r>
          <w:r>
            <w:fldChar w:fldCharType="separate"/>
          </w:r>
          <w:r>
            <w:t>1</w:t>
          </w:r>
          <w:r>
            <w:fldChar w:fldCharType="end"/>
          </w:r>
          <w:r>
            <w:fldChar w:fldCharType="end"/>
          </w:r>
        </w:p>
        <w:p>
          <w:pPr>
            <w:pStyle w:val="14"/>
            <w:tabs>
              <w:tab w:val="right" w:leader="dot" w:pos="9060"/>
            </w:tabs>
            <w:rPr>
              <w:rFonts w:asciiTheme="minorHAnsi" w:hAnsiTheme="minorHAnsi" w:eastAsiaTheme="minorEastAsia" w:cstheme="minorBidi"/>
            </w:rPr>
          </w:pPr>
          <w:r>
            <w:fldChar w:fldCharType="begin"/>
          </w:r>
          <w:r>
            <w:instrText xml:space="preserve"> HYPERLINK \l "_Toc533861906" </w:instrText>
          </w:r>
          <w:r>
            <w:fldChar w:fldCharType="separate"/>
          </w:r>
          <w:r>
            <w:rPr>
              <w:rStyle w:val="17"/>
              <w:rFonts w:hint="eastAsia"/>
            </w:rPr>
            <w:t>二、毕业生结构</w:t>
          </w:r>
          <w:r>
            <w:tab/>
          </w:r>
          <w:r>
            <w:fldChar w:fldCharType="begin"/>
          </w:r>
          <w:r>
            <w:instrText xml:space="preserve"> PAGEREF _Toc533861906 \h </w:instrText>
          </w:r>
          <w:r>
            <w:fldChar w:fldCharType="separate"/>
          </w:r>
          <w:r>
            <w:t>3</w:t>
          </w:r>
          <w:r>
            <w:fldChar w:fldCharType="end"/>
          </w:r>
          <w:r>
            <w:fldChar w:fldCharType="end"/>
          </w:r>
        </w:p>
        <w:p>
          <w:pPr>
            <w:pStyle w:val="8"/>
            <w:tabs>
              <w:tab w:val="right" w:leader="dot" w:pos="9060"/>
            </w:tabs>
            <w:rPr>
              <w:rFonts w:asciiTheme="minorHAnsi" w:hAnsiTheme="minorHAnsi" w:eastAsiaTheme="minorEastAsia" w:cstheme="minorBidi"/>
            </w:rPr>
          </w:pPr>
          <w:r>
            <w:fldChar w:fldCharType="begin"/>
          </w:r>
          <w:r>
            <w:instrText xml:space="preserve"> HYPERLINK \l "_Toc533861907" </w:instrText>
          </w:r>
          <w:r>
            <w:fldChar w:fldCharType="separate"/>
          </w:r>
          <w:r>
            <w:rPr>
              <w:rStyle w:val="17"/>
              <w:rFonts w:hint="eastAsia"/>
            </w:rPr>
            <w:t>（一）来源结构</w:t>
          </w:r>
          <w:r>
            <w:tab/>
          </w:r>
          <w:r>
            <w:fldChar w:fldCharType="begin"/>
          </w:r>
          <w:r>
            <w:instrText xml:space="preserve"> PAGEREF _Toc533861907 \h </w:instrText>
          </w:r>
          <w:r>
            <w:fldChar w:fldCharType="separate"/>
          </w:r>
          <w:r>
            <w:t>3</w:t>
          </w:r>
          <w:r>
            <w:fldChar w:fldCharType="end"/>
          </w:r>
          <w:r>
            <w:fldChar w:fldCharType="end"/>
          </w:r>
        </w:p>
        <w:p>
          <w:pPr>
            <w:pStyle w:val="8"/>
            <w:tabs>
              <w:tab w:val="right" w:leader="dot" w:pos="9060"/>
            </w:tabs>
            <w:rPr>
              <w:rFonts w:asciiTheme="minorHAnsi" w:hAnsiTheme="minorHAnsi" w:eastAsiaTheme="minorEastAsia" w:cstheme="minorBidi"/>
            </w:rPr>
          </w:pPr>
          <w:r>
            <w:fldChar w:fldCharType="begin"/>
          </w:r>
          <w:r>
            <w:instrText xml:space="preserve"> HYPERLINK \l "_Toc533861908" </w:instrText>
          </w:r>
          <w:r>
            <w:fldChar w:fldCharType="separate"/>
          </w:r>
          <w:r>
            <w:rPr>
              <w:rStyle w:val="17"/>
              <w:rFonts w:hint="eastAsia"/>
            </w:rPr>
            <w:t>（二）民族结构</w:t>
          </w:r>
          <w:r>
            <w:tab/>
          </w:r>
          <w:r>
            <w:fldChar w:fldCharType="begin"/>
          </w:r>
          <w:r>
            <w:instrText xml:space="preserve"> PAGEREF _Toc533861908 \h </w:instrText>
          </w:r>
          <w:r>
            <w:fldChar w:fldCharType="separate"/>
          </w:r>
          <w:r>
            <w:t>4</w:t>
          </w:r>
          <w:r>
            <w:fldChar w:fldCharType="end"/>
          </w:r>
          <w:r>
            <w:fldChar w:fldCharType="end"/>
          </w:r>
        </w:p>
        <w:p>
          <w:pPr>
            <w:pStyle w:val="8"/>
            <w:tabs>
              <w:tab w:val="right" w:leader="dot" w:pos="9060"/>
            </w:tabs>
            <w:rPr>
              <w:rFonts w:asciiTheme="minorHAnsi" w:hAnsiTheme="minorHAnsi" w:eastAsiaTheme="minorEastAsia" w:cstheme="minorBidi"/>
            </w:rPr>
          </w:pPr>
          <w:r>
            <w:fldChar w:fldCharType="begin"/>
          </w:r>
          <w:r>
            <w:instrText xml:space="preserve"> HYPERLINK \l "_Toc533861909" </w:instrText>
          </w:r>
          <w:r>
            <w:fldChar w:fldCharType="separate"/>
          </w:r>
          <w:r>
            <w:rPr>
              <w:rStyle w:val="17"/>
              <w:rFonts w:hint="eastAsia"/>
            </w:rPr>
            <w:t>（三）性别结构</w:t>
          </w:r>
          <w:r>
            <w:tab/>
          </w:r>
          <w:r>
            <w:fldChar w:fldCharType="begin"/>
          </w:r>
          <w:r>
            <w:instrText xml:space="preserve"> PAGEREF _Toc533861909 \h </w:instrText>
          </w:r>
          <w:r>
            <w:fldChar w:fldCharType="separate"/>
          </w:r>
          <w:r>
            <w:t>4</w:t>
          </w:r>
          <w:r>
            <w:fldChar w:fldCharType="end"/>
          </w:r>
          <w:r>
            <w:fldChar w:fldCharType="end"/>
          </w:r>
        </w:p>
        <w:p>
          <w:pPr>
            <w:pStyle w:val="8"/>
            <w:tabs>
              <w:tab w:val="right" w:leader="dot" w:pos="9060"/>
            </w:tabs>
            <w:rPr>
              <w:rFonts w:asciiTheme="minorHAnsi" w:hAnsiTheme="minorHAnsi" w:eastAsiaTheme="minorEastAsia" w:cstheme="minorBidi"/>
            </w:rPr>
          </w:pPr>
          <w:r>
            <w:fldChar w:fldCharType="begin"/>
          </w:r>
          <w:r>
            <w:instrText xml:space="preserve"> HYPERLINK \l "_Toc533861910" </w:instrText>
          </w:r>
          <w:r>
            <w:fldChar w:fldCharType="separate"/>
          </w:r>
          <w:r>
            <w:rPr>
              <w:rStyle w:val="17"/>
              <w:rFonts w:hint="eastAsia"/>
            </w:rPr>
            <w:t>（四）生源地分布</w:t>
          </w:r>
          <w:r>
            <w:tab/>
          </w:r>
          <w:r>
            <w:fldChar w:fldCharType="begin"/>
          </w:r>
          <w:r>
            <w:instrText xml:space="preserve"> PAGEREF _Toc533861910 \h </w:instrText>
          </w:r>
          <w:r>
            <w:fldChar w:fldCharType="separate"/>
          </w:r>
          <w:r>
            <w:t>4</w:t>
          </w:r>
          <w:r>
            <w:fldChar w:fldCharType="end"/>
          </w:r>
          <w:r>
            <w:fldChar w:fldCharType="end"/>
          </w:r>
        </w:p>
        <w:p>
          <w:pPr>
            <w:pStyle w:val="14"/>
            <w:tabs>
              <w:tab w:val="right" w:leader="dot" w:pos="9060"/>
            </w:tabs>
            <w:rPr>
              <w:rFonts w:asciiTheme="minorHAnsi" w:hAnsiTheme="minorHAnsi" w:eastAsiaTheme="minorEastAsia" w:cstheme="minorBidi"/>
            </w:rPr>
          </w:pPr>
          <w:r>
            <w:fldChar w:fldCharType="begin"/>
          </w:r>
          <w:r>
            <w:instrText xml:space="preserve"> HYPERLINK \l "_Toc533861911" </w:instrText>
          </w:r>
          <w:r>
            <w:fldChar w:fldCharType="separate"/>
          </w:r>
          <w:r>
            <w:rPr>
              <w:rStyle w:val="17"/>
              <w:rFonts w:hint="eastAsia"/>
            </w:rPr>
            <w:t>三、就业率及毕业去向</w:t>
          </w:r>
          <w:r>
            <w:tab/>
          </w:r>
          <w:r>
            <w:fldChar w:fldCharType="begin"/>
          </w:r>
          <w:r>
            <w:instrText xml:space="preserve"> PAGEREF _Toc533861911 \h </w:instrText>
          </w:r>
          <w:r>
            <w:fldChar w:fldCharType="separate"/>
          </w:r>
          <w:r>
            <w:t>5</w:t>
          </w:r>
          <w:r>
            <w:fldChar w:fldCharType="end"/>
          </w:r>
          <w:r>
            <w:fldChar w:fldCharType="end"/>
          </w:r>
        </w:p>
        <w:p>
          <w:pPr>
            <w:pStyle w:val="8"/>
            <w:tabs>
              <w:tab w:val="right" w:leader="dot" w:pos="9060"/>
            </w:tabs>
            <w:rPr>
              <w:rFonts w:asciiTheme="minorHAnsi" w:hAnsiTheme="minorHAnsi" w:eastAsiaTheme="minorEastAsia" w:cstheme="minorBidi"/>
            </w:rPr>
          </w:pPr>
          <w:r>
            <w:fldChar w:fldCharType="begin"/>
          </w:r>
          <w:r>
            <w:instrText xml:space="preserve"> HYPERLINK \l "_Toc533861912" </w:instrText>
          </w:r>
          <w:r>
            <w:fldChar w:fldCharType="separate"/>
          </w:r>
          <w:r>
            <w:rPr>
              <w:rStyle w:val="17"/>
              <w:rFonts w:hint="eastAsia"/>
            </w:rPr>
            <w:t>（一）总体就业率及毕业去向</w:t>
          </w:r>
          <w:r>
            <w:tab/>
          </w:r>
          <w:r>
            <w:fldChar w:fldCharType="begin"/>
          </w:r>
          <w:r>
            <w:instrText xml:space="preserve"> PAGEREF _Toc533861912 \h </w:instrText>
          </w:r>
          <w:r>
            <w:fldChar w:fldCharType="separate"/>
          </w:r>
          <w:r>
            <w:t>5</w:t>
          </w:r>
          <w:r>
            <w:fldChar w:fldCharType="end"/>
          </w:r>
          <w:r>
            <w:fldChar w:fldCharType="end"/>
          </w:r>
        </w:p>
        <w:p>
          <w:pPr>
            <w:pStyle w:val="8"/>
            <w:tabs>
              <w:tab w:val="right" w:leader="dot" w:pos="9060"/>
            </w:tabs>
            <w:rPr>
              <w:rFonts w:asciiTheme="minorHAnsi" w:hAnsiTheme="minorHAnsi" w:eastAsiaTheme="minorEastAsia" w:cstheme="minorBidi"/>
            </w:rPr>
          </w:pPr>
          <w:r>
            <w:fldChar w:fldCharType="begin"/>
          </w:r>
          <w:r>
            <w:instrText xml:space="preserve"> HYPERLINK \l "_Toc533861913" </w:instrText>
          </w:r>
          <w:r>
            <w:fldChar w:fldCharType="separate"/>
          </w:r>
          <w:r>
            <w:rPr>
              <w:rStyle w:val="17"/>
              <w:rFonts w:hint="eastAsia"/>
            </w:rPr>
            <w:t>（二）各专业就业率</w:t>
          </w:r>
          <w:r>
            <w:tab/>
          </w:r>
          <w:r>
            <w:fldChar w:fldCharType="begin"/>
          </w:r>
          <w:r>
            <w:instrText xml:space="preserve"> PAGEREF _Toc533861913 \h </w:instrText>
          </w:r>
          <w:r>
            <w:fldChar w:fldCharType="separate"/>
          </w:r>
          <w:r>
            <w:t>5</w:t>
          </w:r>
          <w:r>
            <w:fldChar w:fldCharType="end"/>
          </w:r>
          <w:r>
            <w:fldChar w:fldCharType="end"/>
          </w:r>
        </w:p>
        <w:p>
          <w:pPr>
            <w:pStyle w:val="14"/>
            <w:tabs>
              <w:tab w:val="right" w:leader="dot" w:pos="9060"/>
            </w:tabs>
            <w:rPr>
              <w:rFonts w:asciiTheme="minorHAnsi" w:hAnsiTheme="minorHAnsi" w:eastAsiaTheme="minorEastAsia" w:cstheme="minorBidi"/>
            </w:rPr>
          </w:pPr>
          <w:r>
            <w:fldChar w:fldCharType="begin"/>
          </w:r>
          <w:r>
            <w:instrText xml:space="preserve"> HYPERLINK \l "_Toc533861914" </w:instrText>
          </w:r>
          <w:r>
            <w:fldChar w:fldCharType="separate"/>
          </w:r>
          <w:r>
            <w:rPr>
              <w:rStyle w:val="17"/>
              <w:rFonts w:hint="eastAsia"/>
            </w:rPr>
            <w:t>四、就业流向</w:t>
          </w:r>
          <w:r>
            <w:tab/>
          </w:r>
          <w:r>
            <w:fldChar w:fldCharType="begin"/>
          </w:r>
          <w:r>
            <w:instrText xml:space="preserve"> PAGEREF _Toc533861914 \h </w:instrText>
          </w:r>
          <w:r>
            <w:fldChar w:fldCharType="separate"/>
          </w:r>
          <w:r>
            <w:t>7</w:t>
          </w:r>
          <w:r>
            <w:fldChar w:fldCharType="end"/>
          </w:r>
          <w:r>
            <w:fldChar w:fldCharType="end"/>
          </w:r>
        </w:p>
        <w:p>
          <w:pPr>
            <w:pStyle w:val="8"/>
            <w:tabs>
              <w:tab w:val="right" w:leader="dot" w:pos="9060"/>
            </w:tabs>
            <w:rPr>
              <w:rFonts w:asciiTheme="minorHAnsi" w:hAnsiTheme="minorHAnsi" w:eastAsiaTheme="minorEastAsia" w:cstheme="minorBidi"/>
            </w:rPr>
          </w:pPr>
          <w:r>
            <w:fldChar w:fldCharType="begin"/>
          </w:r>
          <w:r>
            <w:instrText xml:space="preserve"> HYPERLINK \l "_Toc533861915" </w:instrText>
          </w:r>
          <w:r>
            <w:fldChar w:fldCharType="separate"/>
          </w:r>
          <w:r>
            <w:rPr>
              <w:rStyle w:val="17"/>
              <w:rFonts w:hint="eastAsia"/>
            </w:rPr>
            <w:t>（一）就业单位分布</w:t>
          </w:r>
          <w:r>
            <w:tab/>
          </w:r>
          <w:r>
            <w:fldChar w:fldCharType="begin"/>
          </w:r>
          <w:r>
            <w:instrText xml:space="preserve"> PAGEREF _Toc533861915 \h </w:instrText>
          </w:r>
          <w:r>
            <w:fldChar w:fldCharType="separate"/>
          </w:r>
          <w:r>
            <w:t>7</w:t>
          </w:r>
          <w:r>
            <w:fldChar w:fldCharType="end"/>
          </w:r>
          <w:r>
            <w:fldChar w:fldCharType="end"/>
          </w:r>
        </w:p>
        <w:p>
          <w:pPr>
            <w:pStyle w:val="8"/>
            <w:tabs>
              <w:tab w:val="right" w:leader="dot" w:pos="9060"/>
            </w:tabs>
            <w:rPr>
              <w:rFonts w:asciiTheme="minorHAnsi" w:hAnsiTheme="minorHAnsi" w:eastAsiaTheme="minorEastAsia" w:cstheme="minorBidi"/>
            </w:rPr>
          </w:pPr>
          <w:r>
            <w:fldChar w:fldCharType="begin"/>
          </w:r>
          <w:r>
            <w:instrText xml:space="preserve"> HYPERLINK \l "_Toc533861916" </w:instrText>
          </w:r>
          <w:r>
            <w:fldChar w:fldCharType="separate"/>
          </w:r>
          <w:r>
            <w:rPr>
              <w:rStyle w:val="17"/>
              <w:rFonts w:hint="eastAsia"/>
            </w:rPr>
            <w:t>（二）就业地区分布</w:t>
          </w:r>
          <w:r>
            <w:tab/>
          </w:r>
          <w:r>
            <w:fldChar w:fldCharType="begin"/>
          </w:r>
          <w:r>
            <w:instrText xml:space="preserve"> PAGEREF _Toc533861916 \h </w:instrText>
          </w:r>
          <w:r>
            <w:fldChar w:fldCharType="separate"/>
          </w:r>
          <w:r>
            <w:t>8</w:t>
          </w:r>
          <w:r>
            <w:fldChar w:fldCharType="end"/>
          </w:r>
          <w:r>
            <w:fldChar w:fldCharType="end"/>
          </w:r>
        </w:p>
        <w:p>
          <w:pPr>
            <w:pStyle w:val="8"/>
            <w:tabs>
              <w:tab w:val="right" w:leader="dot" w:pos="9060"/>
            </w:tabs>
            <w:rPr>
              <w:rFonts w:asciiTheme="minorHAnsi" w:hAnsiTheme="minorHAnsi" w:eastAsiaTheme="minorEastAsia" w:cstheme="minorBidi"/>
            </w:rPr>
          </w:pPr>
          <w:r>
            <w:fldChar w:fldCharType="begin"/>
          </w:r>
          <w:r>
            <w:instrText xml:space="preserve"> HYPERLINK \l "_Toc533861917" </w:instrText>
          </w:r>
          <w:r>
            <w:fldChar w:fldCharType="separate"/>
          </w:r>
          <w:r>
            <w:rPr>
              <w:rStyle w:val="17"/>
              <w:rFonts w:hint="eastAsia"/>
            </w:rPr>
            <w:t>（三）就业行业分布</w:t>
          </w:r>
          <w:r>
            <w:tab/>
          </w:r>
          <w:r>
            <w:fldChar w:fldCharType="begin"/>
          </w:r>
          <w:r>
            <w:instrText xml:space="preserve"> PAGEREF _Toc533861917 \h </w:instrText>
          </w:r>
          <w:r>
            <w:fldChar w:fldCharType="separate"/>
          </w:r>
          <w:r>
            <w:t>9</w:t>
          </w:r>
          <w:r>
            <w:fldChar w:fldCharType="end"/>
          </w:r>
          <w:r>
            <w:fldChar w:fldCharType="end"/>
          </w:r>
        </w:p>
        <w:p>
          <w:pPr>
            <w:pStyle w:val="8"/>
            <w:tabs>
              <w:tab w:val="right" w:leader="dot" w:pos="9060"/>
            </w:tabs>
            <w:rPr>
              <w:rFonts w:asciiTheme="minorHAnsi" w:hAnsiTheme="minorHAnsi" w:eastAsiaTheme="minorEastAsia" w:cstheme="minorBidi"/>
            </w:rPr>
          </w:pPr>
          <w:r>
            <w:fldChar w:fldCharType="begin"/>
          </w:r>
          <w:r>
            <w:instrText xml:space="preserve"> HYPERLINK \l "_Toc533861918" </w:instrText>
          </w:r>
          <w:r>
            <w:fldChar w:fldCharType="separate"/>
          </w:r>
          <w:r>
            <w:rPr>
              <w:rStyle w:val="17"/>
              <w:rFonts w:hint="eastAsia"/>
            </w:rPr>
            <w:t>（四）不同性别分布</w:t>
          </w:r>
          <w:r>
            <w:tab/>
          </w:r>
          <w:r>
            <w:fldChar w:fldCharType="begin"/>
          </w:r>
          <w:r>
            <w:instrText xml:space="preserve"> PAGEREF _Toc533861918 \h </w:instrText>
          </w:r>
          <w:r>
            <w:fldChar w:fldCharType="separate"/>
          </w:r>
          <w:r>
            <w:t>10</w:t>
          </w:r>
          <w:r>
            <w:fldChar w:fldCharType="end"/>
          </w:r>
          <w:r>
            <w:fldChar w:fldCharType="end"/>
          </w:r>
        </w:p>
        <w:p>
          <w:pPr>
            <w:pStyle w:val="8"/>
            <w:tabs>
              <w:tab w:val="right" w:leader="dot" w:pos="9060"/>
            </w:tabs>
            <w:rPr>
              <w:rFonts w:asciiTheme="minorHAnsi" w:hAnsiTheme="minorHAnsi" w:eastAsiaTheme="minorEastAsia" w:cstheme="minorBidi"/>
            </w:rPr>
          </w:pPr>
          <w:r>
            <w:fldChar w:fldCharType="begin"/>
          </w:r>
          <w:r>
            <w:instrText xml:space="preserve"> HYPERLINK \l "_Toc533861919" </w:instrText>
          </w:r>
          <w:r>
            <w:fldChar w:fldCharType="separate"/>
          </w:r>
          <w:r>
            <w:rPr>
              <w:rStyle w:val="17"/>
              <w:rFonts w:hint="eastAsia"/>
            </w:rPr>
            <w:t>（五）不同民族分布</w:t>
          </w:r>
          <w:r>
            <w:tab/>
          </w:r>
          <w:r>
            <w:fldChar w:fldCharType="begin"/>
          </w:r>
          <w:r>
            <w:instrText xml:space="preserve"> PAGEREF _Toc533861919 \h </w:instrText>
          </w:r>
          <w:r>
            <w:fldChar w:fldCharType="separate"/>
          </w:r>
          <w:r>
            <w:t>10</w:t>
          </w:r>
          <w:r>
            <w:fldChar w:fldCharType="end"/>
          </w:r>
          <w:r>
            <w:fldChar w:fldCharType="end"/>
          </w:r>
        </w:p>
        <w:p>
          <w:pPr>
            <w:pStyle w:val="8"/>
            <w:tabs>
              <w:tab w:val="right" w:leader="dot" w:pos="9060"/>
            </w:tabs>
            <w:rPr>
              <w:rFonts w:asciiTheme="minorHAnsi" w:hAnsiTheme="minorHAnsi" w:eastAsiaTheme="minorEastAsia" w:cstheme="minorBidi"/>
            </w:rPr>
          </w:pPr>
          <w:r>
            <w:fldChar w:fldCharType="begin"/>
          </w:r>
          <w:r>
            <w:instrText xml:space="preserve"> HYPERLINK \l "_Toc533861920" </w:instrText>
          </w:r>
          <w:r>
            <w:fldChar w:fldCharType="separate"/>
          </w:r>
          <w:r>
            <w:rPr>
              <w:rStyle w:val="17"/>
              <w:rFonts w:hint="eastAsia"/>
            </w:rPr>
            <w:t>（六）国家、地方基层就业服务项目促进毕业生就业</w:t>
          </w:r>
          <w:r>
            <w:tab/>
          </w:r>
          <w:r>
            <w:fldChar w:fldCharType="begin"/>
          </w:r>
          <w:r>
            <w:instrText xml:space="preserve"> PAGEREF _Toc533861920 \h </w:instrText>
          </w:r>
          <w:r>
            <w:fldChar w:fldCharType="separate"/>
          </w:r>
          <w:r>
            <w:t>11</w:t>
          </w:r>
          <w:r>
            <w:fldChar w:fldCharType="end"/>
          </w:r>
          <w:r>
            <w:fldChar w:fldCharType="end"/>
          </w:r>
        </w:p>
        <w:p>
          <w:pPr>
            <w:pStyle w:val="8"/>
            <w:tabs>
              <w:tab w:val="right" w:leader="dot" w:pos="9060"/>
            </w:tabs>
            <w:rPr>
              <w:rFonts w:asciiTheme="minorHAnsi" w:hAnsiTheme="minorHAnsi" w:eastAsiaTheme="minorEastAsia" w:cstheme="minorBidi"/>
            </w:rPr>
          </w:pPr>
          <w:r>
            <w:fldChar w:fldCharType="begin"/>
          </w:r>
          <w:r>
            <w:instrText xml:space="preserve"> HYPERLINK \l "_Toc533861921" </w:instrText>
          </w:r>
          <w:r>
            <w:fldChar w:fldCharType="separate"/>
          </w:r>
          <w:r>
            <w:rPr>
              <w:rStyle w:val="17"/>
              <w:rFonts w:hint="eastAsia"/>
            </w:rPr>
            <w:t>（七）毕业生自主创业情况</w:t>
          </w:r>
          <w:r>
            <w:tab/>
          </w:r>
          <w:r>
            <w:fldChar w:fldCharType="begin"/>
          </w:r>
          <w:r>
            <w:instrText xml:space="preserve"> PAGEREF _Toc533861921 \h </w:instrText>
          </w:r>
          <w:r>
            <w:fldChar w:fldCharType="separate"/>
          </w:r>
          <w:r>
            <w:t>11</w:t>
          </w:r>
          <w:r>
            <w:fldChar w:fldCharType="end"/>
          </w:r>
          <w:r>
            <w:fldChar w:fldCharType="end"/>
          </w:r>
        </w:p>
        <w:p>
          <w:pPr>
            <w:pStyle w:val="13"/>
            <w:rPr>
              <w:rFonts w:asciiTheme="minorHAnsi" w:hAnsiTheme="minorHAnsi" w:eastAsiaTheme="minorEastAsia" w:cstheme="minorBidi"/>
            </w:rPr>
          </w:pPr>
          <w:r>
            <w:fldChar w:fldCharType="begin"/>
          </w:r>
          <w:r>
            <w:instrText xml:space="preserve"> HYPERLINK \l "_Toc533861922" </w:instrText>
          </w:r>
          <w:r>
            <w:fldChar w:fldCharType="separate"/>
          </w:r>
          <w:r>
            <w:rPr>
              <w:rStyle w:val="17"/>
              <w:rFonts w:hint="eastAsia" w:ascii="宋体" w:hAnsi="宋体"/>
              <w:b/>
            </w:rPr>
            <w:t>第二篇：学院就业创业工作举措及亮点</w:t>
          </w:r>
          <w:r>
            <w:tab/>
          </w:r>
          <w:r>
            <w:fldChar w:fldCharType="begin"/>
          </w:r>
          <w:r>
            <w:instrText xml:space="preserve"> PAGEREF _Toc533861922 \h </w:instrText>
          </w:r>
          <w:r>
            <w:fldChar w:fldCharType="separate"/>
          </w:r>
          <w:r>
            <w:t>13</w:t>
          </w:r>
          <w:r>
            <w:fldChar w:fldCharType="end"/>
          </w:r>
          <w:r>
            <w:fldChar w:fldCharType="end"/>
          </w:r>
        </w:p>
        <w:p>
          <w:pPr>
            <w:pStyle w:val="14"/>
            <w:tabs>
              <w:tab w:val="right" w:leader="dot" w:pos="9060"/>
            </w:tabs>
            <w:rPr>
              <w:rFonts w:asciiTheme="minorHAnsi" w:hAnsiTheme="minorHAnsi" w:eastAsiaTheme="minorEastAsia" w:cstheme="minorBidi"/>
            </w:rPr>
          </w:pPr>
          <w:r>
            <w:fldChar w:fldCharType="begin"/>
          </w:r>
          <w:r>
            <w:instrText xml:space="preserve"> HYPERLINK \l "_Toc533861923" </w:instrText>
          </w:r>
          <w:r>
            <w:fldChar w:fldCharType="separate"/>
          </w:r>
          <w:r>
            <w:rPr>
              <w:rStyle w:val="17"/>
              <w:rFonts w:hint="eastAsia"/>
            </w:rPr>
            <w:t>一、组织建设与发展保障</w:t>
          </w:r>
          <w:r>
            <w:tab/>
          </w:r>
          <w:r>
            <w:fldChar w:fldCharType="begin"/>
          </w:r>
          <w:r>
            <w:instrText xml:space="preserve"> PAGEREF _Toc533861923 \h </w:instrText>
          </w:r>
          <w:r>
            <w:fldChar w:fldCharType="separate"/>
          </w:r>
          <w:r>
            <w:t>13</w:t>
          </w:r>
          <w:r>
            <w:fldChar w:fldCharType="end"/>
          </w:r>
          <w:r>
            <w:fldChar w:fldCharType="end"/>
          </w:r>
        </w:p>
        <w:p>
          <w:pPr>
            <w:pStyle w:val="8"/>
            <w:tabs>
              <w:tab w:val="right" w:leader="dot" w:pos="9060"/>
            </w:tabs>
            <w:rPr>
              <w:rFonts w:asciiTheme="minorHAnsi" w:hAnsiTheme="minorHAnsi" w:eastAsiaTheme="minorEastAsia" w:cstheme="minorBidi"/>
            </w:rPr>
          </w:pPr>
          <w:r>
            <w:fldChar w:fldCharType="begin"/>
          </w:r>
          <w:r>
            <w:instrText xml:space="preserve"> HYPERLINK \l "_Toc533861924" </w:instrText>
          </w:r>
          <w:r>
            <w:fldChar w:fldCharType="separate"/>
          </w:r>
          <w:r>
            <w:rPr>
              <w:rStyle w:val="17"/>
              <w:rFonts w:hint="eastAsia"/>
            </w:rPr>
            <w:t>（一）学院领导高度重视毕业生就业工作</w:t>
          </w:r>
          <w:r>
            <w:tab/>
          </w:r>
          <w:r>
            <w:fldChar w:fldCharType="begin"/>
          </w:r>
          <w:r>
            <w:instrText xml:space="preserve"> PAGEREF _Toc533861924 \h </w:instrText>
          </w:r>
          <w:r>
            <w:fldChar w:fldCharType="separate"/>
          </w:r>
          <w:r>
            <w:t>13</w:t>
          </w:r>
          <w:r>
            <w:fldChar w:fldCharType="end"/>
          </w:r>
          <w:r>
            <w:fldChar w:fldCharType="end"/>
          </w:r>
        </w:p>
        <w:p>
          <w:pPr>
            <w:pStyle w:val="8"/>
            <w:tabs>
              <w:tab w:val="right" w:leader="dot" w:pos="9060"/>
            </w:tabs>
            <w:rPr>
              <w:rFonts w:asciiTheme="minorHAnsi" w:hAnsiTheme="minorHAnsi" w:eastAsiaTheme="minorEastAsia" w:cstheme="minorBidi"/>
            </w:rPr>
          </w:pPr>
          <w:r>
            <w:fldChar w:fldCharType="begin"/>
          </w:r>
          <w:r>
            <w:instrText xml:space="preserve"> HYPERLINK \l "_Toc533861925" </w:instrText>
          </w:r>
          <w:r>
            <w:fldChar w:fldCharType="separate"/>
          </w:r>
          <w:r>
            <w:rPr>
              <w:rStyle w:val="17"/>
              <w:rFonts w:hint="eastAsia"/>
            </w:rPr>
            <w:t>（二）强化院系两级就业工作管理体系</w:t>
          </w:r>
          <w:r>
            <w:tab/>
          </w:r>
          <w:r>
            <w:fldChar w:fldCharType="begin"/>
          </w:r>
          <w:r>
            <w:instrText xml:space="preserve"> PAGEREF _Toc533861925 \h </w:instrText>
          </w:r>
          <w:r>
            <w:fldChar w:fldCharType="separate"/>
          </w:r>
          <w:r>
            <w:t>13</w:t>
          </w:r>
          <w:r>
            <w:fldChar w:fldCharType="end"/>
          </w:r>
          <w:r>
            <w:fldChar w:fldCharType="end"/>
          </w:r>
        </w:p>
        <w:p>
          <w:pPr>
            <w:pStyle w:val="8"/>
            <w:tabs>
              <w:tab w:val="right" w:leader="dot" w:pos="9060"/>
            </w:tabs>
            <w:rPr>
              <w:rFonts w:asciiTheme="minorHAnsi" w:hAnsiTheme="minorHAnsi" w:eastAsiaTheme="minorEastAsia" w:cstheme="minorBidi"/>
            </w:rPr>
          </w:pPr>
          <w:r>
            <w:fldChar w:fldCharType="begin"/>
          </w:r>
          <w:r>
            <w:instrText xml:space="preserve"> HYPERLINK \l "_Toc533861926" </w:instrText>
          </w:r>
          <w:r>
            <w:fldChar w:fldCharType="separate"/>
          </w:r>
          <w:r>
            <w:rPr>
              <w:rStyle w:val="17"/>
              <w:rFonts w:hint="eastAsia"/>
            </w:rPr>
            <w:t>（三）加大投入，就业工作条件不断改善</w:t>
          </w:r>
          <w:r>
            <w:tab/>
          </w:r>
          <w:r>
            <w:fldChar w:fldCharType="begin"/>
          </w:r>
          <w:r>
            <w:instrText xml:space="preserve"> PAGEREF _Toc533861926 \h </w:instrText>
          </w:r>
          <w:r>
            <w:fldChar w:fldCharType="separate"/>
          </w:r>
          <w:r>
            <w:t>13</w:t>
          </w:r>
          <w:r>
            <w:fldChar w:fldCharType="end"/>
          </w:r>
          <w:r>
            <w:fldChar w:fldCharType="end"/>
          </w:r>
        </w:p>
        <w:p>
          <w:pPr>
            <w:pStyle w:val="8"/>
            <w:tabs>
              <w:tab w:val="right" w:leader="dot" w:pos="9060"/>
            </w:tabs>
            <w:rPr>
              <w:rFonts w:asciiTheme="minorHAnsi" w:hAnsiTheme="minorHAnsi" w:eastAsiaTheme="minorEastAsia" w:cstheme="minorBidi"/>
            </w:rPr>
          </w:pPr>
          <w:r>
            <w:fldChar w:fldCharType="begin"/>
          </w:r>
          <w:r>
            <w:instrText xml:space="preserve"> HYPERLINK \l "_Toc533861927" </w:instrText>
          </w:r>
          <w:r>
            <w:fldChar w:fldCharType="separate"/>
          </w:r>
          <w:r>
            <w:rPr>
              <w:rStyle w:val="17"/>
              <w:rFonts w:hint="eastAsia"/>
            </w:rPr>
            <w:t>（四）加强就业创业队伍建设</w:t>
          </w:r>
          <w:r>
            <w:tab/>
          </w:r>
          <w:r>
            <w:fldChar w:fldCharType="begin"/>
          </w:r>
          <w:r>
            <w:instrText xml:space="preserve"> PAGEREF _Toc533861927 \h </w:instrText>
          </w:r>
          <w:r>
            <w:fldChar w:fldCharType="separate"/>
          </w:r>
          <w:r>
            <w:t>13</w:t>
          </w:r>
          <w:r>
            <w:fldChar w:fldCharType="end"/>
          </w:r>
          <w:r>
            <w:fldChar w:fldCharType="end"/>
          </w:r>
        </w:p>
        <w:p>
          <w:pPr>
            <w:pStyle w:val="14"/>
            <w:tabs>
              <w:tab w:val="right" w:leader="dot" w:pos="9060"/>
            </w:tabs>
            <w:rPr>
              <w:rFonts w:asciiTheme="minorHAnsi" w:hAnsiTheme="minorHAnsi" w:eastAsiaTheme="minorEastAsia" w:cstheme="minorBidi"/>
            </w:rPr>
          </w:pPr>
          <w:r>
            <w:fldChar w:fldCharType="begin"/>
          </w:r>
          <w:r>
            <w:instrText xml:space="preserve"> HYPERLINK \l "_Toc533861928" </w:instrText>
          </w:r>
          <w:r>
            <w:fldChar w:fldCharType="separate"/>
          </w:r>
          <w:r>
            <w:rPr>
              <w:rStyle w:val="17"/>
              <w:rFonts w:hint="eastAsia"/>
            </w:rPr>
            <w:t>二、就业创业指导与服务</w:t>
          </w:r>
          <w:r>
            <w:tab/>
          </w:r>
          <w:r>
            <w:fldChar w:fldCharType="begin"/>
          </w:r>
          <w:r>
            <w:instrText xml:space="preserve"> PAGEREF _Toc533861928 \h </w:instrText>
          </w:r>
          <w:r>
            <w:fldChar w:fldCharType="separate"/>
          </w:r>
          <w:r>
            <w:t>14</w:t>
          </w:r>
          <w:r>
            <w:fldChar w:fldCharType="end"/>
          </w:r>
          <w:r>
            <w:fldChar w:fldCharType="end"/>
          </w:r>
        </w:p>
        <w:p>
          <w:pPr>
            <w:pStyle w:val="8"/>
            <w:tabs>
              <w:tab w:val="right" w:leader="dot" w:pos="9060"/>
            </w:tabs>
            <w:rPr>
              <w:rFonts w:asciiTheme="minorHAnsi" w:hAnsiTheme="minorHAnsi" w:eastAsiaTheme="minorEastAsia" w:cstheme="minorBidi"/>
            </w:rPr>
          </w:pPr>
          <w:r>
            <w:fldChar w:fldCharType="begin"/>
          </w:r>
          <w:r>
            <w:instrText xml:space="preserve"> HYPERLINK \l "_Toc533861929" </w:instrText>
          </w:r>
          <w:r>
            <w:fldChar w:fldCharType="separate"/>
          </w:r>
          <w:r>
            <w:rPr>
              <w:rStyle w:val="17"/>
              <w:rFonts w:hint="eastAsia"/>
            </w:rPr>
            <w:t>（一）加强就业指导，提升学生职业发展能力</w:t>
          </w:r>
          <w:r>
            <w:tab/>
          </w:r>
          <w:r>
            <w:fldChar w:fldCharType="begin"/>
          </w:r>
          <w:r>
            <w:instrText xml:space="preserve"> PAGEREF _Toc533861929 \h </w:instrText>
          </w:r>
          <w:r>
            <w:fldChar w:fldCharType="separate"/>
          </w:r>
          <w:r>
            <w:t>14</w:t>
          </w:r>
          <w:r>
            <w:fldChar w:fldCharType="end"/>
          </w:r>
          <w:r>
            <w:fldChar w:fldCharType="end"/>
          </w:r>
        </w:p>
        <w:p>
          <w:pPr>
            <w:pStyle w:val="8"/>
            <w:tabs>
              <w:tab w:val="right" w:leader="dot" w:pos="9060"/>
            </w:tabs>
            <w:rPr>
              <w:rFonts w:asciiTheme="minorHAnsi" w:hAnsiTheme="minorHAnsi" w:eastAsiaTheme="minorEastAsia" w:cstheme="minorBidi"/>
            </w:rPr>
          </w:pPr>
          <w:r>
            <w:fldChar w:fldCharType="begin"/>
          </w:r>
          <w:r>
            <w:instrText xml:space="preserve"> HYPERLINK \l "_Toc533861930" </w:instrText>
          </w:r>
          <w:r>
            <w:fldChar w:fldCharType="separate"/>
          </w:r>
          <w:r>
            <w:rPr>
              <w:rStyle w:val="17"/>
              <w:rFonts w:hint="eastAsia"/>
            </w:rPr>
            <w:t>（二）开展创新创业教育，培养学生创新创业能力</w:t>
          </w:r>
          <w:r>
            <w:tab/>
          </w:r>
          <w:r>
            <w:fldChar w:fldCharType="begin"/>
          </w:r>
          <w:r>
            <w:instrText xml:space="preserve"> PAGEREF _Toc533861930 \h </w:instrText>
          </w:r>
          <w:r>
            <w:fldChar w:fldCharType="separate"/>
          </w:r>
          <w:r>
            <w:t>14</w:t>
          </w:r>
          <w:r>
            <w:fldChar w:fldCharType="end"/>
          </w:r>
          <w:r>
            <w:fldChar w:fldCharType="end"/>
          </w:r>
        </w:p>
        <w:p>
          <w:pPr>
            <w:pStyle w:val="8"/>
            <w:tabs>
              <w:tab w:val="right" w:leader="dot" w:pos="9060"/>
            </w:tabs>
            <w:rPr>
              <w:rFonts w:asciiTheme="minorHAnsi" w:hAnsiTheme="minorHAnsi" w:eastAsiaTheme="minorEastAsia" w:cstheme="minorBidi"/>
            </w:rPr>
          </w:pPr>
          <w:r>
            <w:fldChar w:fldCharType="begin"/>
          </w:r>
          <w:r>
            <w:instrText xml:space="preserve"> HYPERLINK \l "_Toc533861931" </w:instrText>
          </w:r>
          <w:r>
            <w:fldChar w:fldCharType="separate"/>
          </w:r>
          <w:r>
            <w:rPr>
              <w:rStyle w:val="17"/>
              <w:rFonts w:hint="eastAsia"/>
            </w:rPr>
            <w:t>（三）拓宽就业渠道，促进毕业生充分就业</w:t>
          </w:r>
          <w:r>
            <w:tab/>
          </w:r>
          <w:r>
            <w:fldChar w:fldCharType="begin"/>
          </w:r>
          <w:r>
            <w:instrText xml:space="preserve"> PAGEREF _Toc533861931 \h </w:instrText>
          </w:r>
          <w:r>
            <w:fldChar w:fldCharType="separate"/>
          </w:r>
          <w:r>
            <w:t>15</w:t>
          </w:r>
          <w:r>
            <w:fldChar w:fldCharType="end"/>
          </w:r>
          <w:r>
            <w:fldChar w:fldCharType="end"/>
          </w:r>
        </w:p>
        <w:p>
          <w:pPr>
            <w:pStyle w:val="8"/>
            <w:tabs>
              <w:tab w:val="right" w:leader="dot" w:pos="9060"/>
            </w:tabs>
            <w:rPr>
              <w:rFonts w:asciiTheme="minorHAnsi" w:hAnsiTheme="minorHAnsi" w:eastAsiaTheme="minorEastAsia" w:cstheme="minorBidi"/>
            </w:rPr>
          </w:pPr>
          <w:r>
            <w:fldChar w:fldCharType="begin"/>
          </w:r>
          <w:r>
            <w:instrText xml:space="preserve"> HYPERLINK \l "_Toc533861932" </w:instrText>
          </w:r>
          <w:r>
            <w:fldChar w:fldCharType="separate"/>
          </w:r>
          <w:r>
            <w:rPr>
              <w:rStyle w:val="17"/>
              <w:rFonts w:hint="eastAsia"/>
            </w:rPr>
            <w:t>（四）全面部署，引导鼓励毕业生赴基层就业</w:t>
          </w:r>
          <w:r>
            <w:tab/>
          </w:r>
          <w:r>
            <w:fldChar w:fldCharType="begin"/>
          </w:r>
          <w:r>
            <w:instrText xml:space="preserve"> PAGEREF _Toc533861932 \h </w:instrText>
          </w:r>
          <w:r>
            <w:fldChar w:fldCharType="separate"/>
          </w:r>
          <w:r>
            <w:t>15</w:t>
          </w:r>
          <w:r>
            <w:fldChar w:fldCharType="end"/>
          </w:r>
          <w:r>
            <w:fldChar w:fldCharType="end"/>
          </w:r>
        </w:p>
        <w:p>
          <w:pPr>
            <w:pStyle w:val="8"/>
            <w:tabs>
              <w:tab w:val="right" w:leader="dot" w:pos="9060"/>
            </w:tabs>
            <w:rPr>
              <w:rFonts w:asciiTheme="minorHAnsi" w:hAnsiTheme="minorHAnsi" w:eastAsiaTheme="minorEastAsia" w:cstheme="minorBidi"/>
            </w:rPr>
          </w:pPr>
          <w:r>
            <w:fldChar w:fldCharType="begin"/>
          </w:r>
          <w:r>
            <w:instrText xml:space="preserve"> HYPERLINK \l "_Toc533861933" </w:instrText>
          </w:r>
          <w:r>
            <w:fldChar w:fldCharType="separate"/>
          </w:r>
          <w:r>
            <w:rPr>
              <w:rStyle w:val="17"/>
              <w:rFonts w:hint="eastAsia"/>
            </w:rPr>
            <w:t>（五）积极开展创新创业活动，深化学生创业实践</w:t>
          </w:r>
          <w:r>
            <w:tab/>
          </w:r>
          <w:r>
            <w:fldChar w:fldCharType="begin"/>
          </w:r>
          <w:r>
            <w:instrText xml:space="preserve"> PAGEREF _Toc533861933 \h </w:instrText>
          </w:r>
          <w:r>
            <w:fldChar w:fldCharType="separate"/>
          </w:r>
          <w:r>
            <w:t>15</w:t>
          </w:r>
          <w:r>
            <w:fldChar w:fldCharType="end"/>
          </w:r>
          <w:r>
            <w:fldChar w:fldCharType="end"/>
          </w:r>
        </w:p>
        <w:p>
          <w:pPr>
            <w:pStyle w:val="8"/>
            <w:tabs>
              <w:tab w:val="right" w:leader="dot" w:pos="9060"/>
            </w:tabs>
            <w:rPr>
              <w:rFonts w:asciiTheme="minorHAnsi" w:hAnsiTheme="minorHAnsi" w:eastAsiaTheme="minorEastAsia" w:cstheme="minorBidi"/>
            </w:rPr>
          </w:pPr>
          <w:r>
            <w:fldChar w:fldCharType="begin"/>
          </w:r>
          <w:r>
            <w:instrText xml:space="preserve"> HYPERLINK \l "_Toc533861934" </w:instrText>
          </w:r>
          <w:r>
            <w:fldChar w:fldCharType="separate"/>
          </w:r>
          <w:r>
            <w:rPr>
              <w:rStyle w:val="17"/>
              <w:rFonts w:hint="eastAsia"/>
            </w:rPr>
            <w:t>（六）举办校园招聘会，搭建毕业生就业平台</w:t>
          </w:r>
          <w:r>
            <w:tab/>
          </w:r>
          <w:r>
            <w:fldChar w:fldCharType="begin"/>
          </w:r>
          <w:r>
            <w:instrText xml:space="preserve"> PAGEREF _Toc533861934 \h </w:instrText>
          </w:r>
          <w:r>
            <w:fldChar w:fldCharType="separate"/>
          </w:r>
          <w:r>
            <w:t>17</w:t>
          </w:r>
          <w:r>
            <w:fldChar w:fldCharType="end"/>
          </w:r>
          <w:r>
            <w:fldChar w:fldCharType="end"/>
          </w:r>
        </w:p>
        <w:p>
          <w:pPr>
            <w:pStyle w:val="8"/>
            <w:tabs>
              <w:tab w:val="right" w:leader="dot" w:pos="9060"/>
            </w:tabs>
            <w:rPr>
              <w:rFonts w:asciiTheme="minorHAnsi" w:hAnsiTheme="minorHAnsi" w:eastAsiaTheme="minorEastAsia" w:cstheme="minorBidi"/>
            </w:rPr>
          </w:pPr>
          <w:r>
            <w:fldChar w:fldCharType="begin"/>
          </w:r>
          <w:r>
            <w:instrText xml:space="preserve"> HYPERLINK \l "_Toc533861935" </w:instrText>
          </w:r>
          <w:r>
            <w:fldChar w:fldCharType="separate"/>
          </w:r>
          <w:r>
            <w:rPr>
              <w:rStyle w:val="17"/>
              <w:rFonts w:hint="eastAsia"/>
            </w:rPr>
            <w:t>（七）实施精准帮扶，助力困难家庭学生充分就业</w:t>
          </w:r>
          <w:r>
            <w:tab/>
          </w:r>
          <w:r>
            <w:fldChar w:fldCharType="begin"/>
          </w:r>
          <w:r>
            <w:instrText xml:space="preserve"> PAGEREF _Toc533861935 \h </w:instrText>
          </w:r>
          <w:r>
            <w:fldChar w:fldCharType="separate"/>
          </w:r>
          <w:r>
            <w:t>17</w:t>
          </w:r>
          <w:r>
            <w:fldChar w:fldCharType="end"/>
          </w:r>
          <w:r>
            <w:fldChar w:fldCharType="end"/>
          </w:r>
        </w:p>
        <w:p>
          <w:pPr>
            <w:pStyle w:val="14"/>
            <w:tabs>
              <w:tab w:val="right" w:leader="dot" w:pos="9060"/>
            </w:tabs>
            <w:rPr>
              <w:rFonts w:asciiTheme="minorHAnsi" w:hAnsiTheme="minorHAnsi" w:eastAsiaTheme="minorEastAsia" w:cstheme="minorBidi"/>
            </w:rPr>
          </w:pPr>
          <w:r>
            <w:fldChar w:fldCharType="begin"/>
          </w:r>
          <w:r>
            <w:instrText xml:space="preserve"> HYPERLINK \l "_Toc533861936" </w:instrText>
          </w:r>
          <w:r>
            <w:fldChar w:fldCharType="separate"/>
          </w:r>
          <w:r>
            <w:rPr>
              <w:rStyle w:val="17"/>
              <w:rFonts w:hint="eastAsia"/>
            </w:rPr>
            <w:t>三、校企合作与市场开发</w:t>
          </w:r>
          <w:r>
            <w:tab/>
          </w:r>
          <w:r>
            <w:fldChar w:fldCharType="begin"/>
          </w:r>
          <w:r>
            <w:instrText xml:space="preserve"> PAGEREF _Toc533861936 \h </w:instrText>
          </w:r>
          <w:r>
            <w:fldChar w:fldCharType="separate"/>
          </w:r>
          <w:r>
            <w:t>18</w:t>
          </w:r>
          <w:r>
            <w:fldChar w:fldCharType="end"/>
          </w:r>
          <w:r>
            <w:fldChar w:fldCharType="end"/>
          </w:r>
        </w:p>
        <w:p>
          <w:pPr>
            <w:pStyle w:val="8"/>
            <w:tabs>
              <w:tab w:val="right" w:leader="dot" w:pos="9060"/>
            </w:tabs>
            <w:rPr>
              <w:rFonts w:asciiTheme="minorHAnsi" w:hAnsiTheme="minorHAnsi" w:eastAsiaTheme="minorEastAsia" w:cstheme="minorBidi"/>
            </w:rPr>
          </w:pPr>
          <w:r>
            <w:fldChar w:fldCharType="begin"/>
          </w:r>
          <w:r>
            <w:instrText xml:space="preserve"> HYPERLINK \l "_Toc533861937" </w:instrText>
          </w:r>
          <w:r>
            <w:fldChar w:fldCharType="separate"/>
          </w:r>
          <w:r>
            <w:rPr>
              <w:rStyle w:val="17"/>
              <w:rFonts w:hint="eastAsia"/>
            </w:rPr>
            <w:t>（一）校企联办，订单培养</w:t>
          </w:r>
          <w:r>
            <w:tab/>
          </w:r>
          <w:r>
            <w:fldChar w:fldCharType="begin"/>
          </w:r>
          <w:r>
            <w:instrText xml:space="preserve"> PAGEREF _Toc533861937 \h </w:instrText>
          </w:r>
          <w:r>
            <w:fldChar w:fldCharType="separate"/>
          </w:r>
          <w:r>
            <w:t>18</w:t>
          </w:r>
          <w:r>
            <w:fldChar w:fldCharType="end"/>
          </w:r>
          <w:r>
            <w:fldChar w:fldCharType="end"/>
          </w:r>
        </w:p>
        <w:p>
          <w:pPr>
            <w:pStyle w:val="8"/>
            <w:tabs>
              <w:tab w:val="right" w:leader="dot" w:pos="9060"/>
            </w:tabs>
            <w:rPr>
              <w:rFonts w:asciiTheme="minorHAnsi" w:hAnsiTheme="minorHAnsi" w:eastAsiaTheme="minorEastAsia" w:cstheme="minorBidi"/>
            </w:rPr>
          </w:pPr>
          <w:r>
            <w:fldChar w:fldCharType="begin"/>
          </w:r>
          <w:r>
            <w:instrText xml:space="preserve"> HYPERLINK \l "_Toc533861938" </w:instrText>
          </w:r>
          <w:r>
            <w:fldChar w:fldCharType="separate"/>
          </w:r>
          <w:r>
            <w:rPr>
              <w:rStyle w:val="17"/>
              <w:rFonts w:hint="eastAsia"/>
            </w:rPr>
            <w:t>（二）实习就业一体化，保障毕业生“零距离”就业</w:t>
          </w:r>
          <w:r>
            <w:tab/>
          </w:r>
          <w:r>
            <w:fldChar w:fldCharType="begin"/>
          </w:r>
          <w:r>
            <w:instrText xml:space="preserve"> PAGEREF _Toc533861938 \h </w:instrText>
          </w:r>
          <w:r>
            <w:fldChar w:fldCharType="separate"/>
          </w:r>
          <w:r>
            <w:t>18</w:t>
          </w:r>
          <w:r>
            <w:fldChar w:fldCharType="end"/>
          </w:r>
          <w:r>
            <w:fldChar w:fldCharType="end"/>
          </w:r>
        </w:p>
        <w:p>
          <w:pPr>
            <w:pStyle w:val="13"/>
            <w:rPr>
              <w:rFonts w:asciiTheme="minorHAnsi" w:hAnsiTheme="minorHAnsi" w:eastAsiaTheme="minorEastAsia" w:cstheme="minorBidi"/>
            </w:rPr>
          </w:pPr>
          <w:r>
            <w:fldChar w:fldCharType="begin"/>
          </w:r>
          <w:r>
            <w:instrText xml:space="preserve"> HYPERLINK \l "_Toc533861939" </w:instrText>
          </w:r>
          <w:r>
            <w:fldChar w:fldCharType="separate"/>
          </w:r>
          <w:r>
            <w:rPr>
              <w:rStyle w:val="17"/>
              <w:rFonts w:hint="eastAsia" w:ascii="宋体" w:hAnsi="宋体"/>
              <w:b/>
            </w:rPr>
            <w:t>第三篇</w:t>
          </w:r>
          <w:r>
            <w:rPr>
              <w:rStyle w:val="17"/>
              <w:rFonts w:ascii="宋体" w:hAnsi="宋体"/>
              <w:b/>
            </w:rPr>
            <w:t xml:space="preserve">  </w:t>
          </w:r>
          <w:r>
            <w:rPr>
              <w:rStyle w:val="17"/>
              <w:rFonts w:hint="eastAsia" w:ascii="宋体" w:hAnsi="宋体"/>
              <w:b/>
            </w:rPr>
            <w:t>毕业生就业质量分析</w:t>
          </w:r>
          <w:r>
            <w:tab/>
          </w:r>
          <w:r>
            <w:fldChar w:fldCharType="begin"/>
          </w:r>
          <w:r>
            <w:instrText xml:space="preserve"> PAGEREF _Toc533861939 \h </w:instrText>
          </w:r>
          <w:r>
            <w:fldChar w:fldCharType="separate"/>
          </w:r>
          <w:r>
            <w:t>20</w:t>
          </w:r>
          <w:r>
            <w:fldChar w:fldCharType="end"/>
          </w:r>
          <w:r>
            <w:fldChar w:fldCharType="end"/>
          </w:r>
        </w:p>
        <w:p>
          <w:pPr>
            <w:pStyle w:val="14"/>
            <w:tabs>
              <w:tab w:val="right" w:leader="dot" w:pos="9060"/>
            </w:tabs>
            <w:rPr>
              <w:rFonts w:asciiTheme="minorHAnsi" w:hAnsiTheme="minorHAnsi" w:eastAsiaTheme="minorEastAsia" w:cstheme="minorBidi"/>
            </w:rPr>
          </w:pPr>
          <w:r>
            <w:fldChar w:fldCharType="begin"/>
          </w:r>
          <w:r>
            <w:instrText xml:space="preserve"> HYPERLINK \l "_Toc533861940" </w:instrText>
          </w:r>
          <w:r>
            <w:fldChar w:fldCharType="separate"/>
          </w:r>
          <w:r>
            <w:rPr>
              <w:rStyle w:val="17"/>
              <w:rFonts w:hint="eastAsia" w:ascii="宋体" w:hAnsi="宋体"/>
            </w:rPr>
            <w:t>一、毕业生对学校</w:t>
          </w:r>
          <w:r>
            <w:rPr>
              <w:rStyle w:val="17"/>
              <w:rFonts w:hint="eastAsia"/>
            </w:rPr>
            <w:t>人才</w:t>
          </w:r>
          <w:r>
            <w:rPr>
              <w:rStyle w:val="17"/>
              <w:rFonts w:hint="eastAsia" w:ascii="宋体" w:hAnsi="宋体"/>
            </w:rPr>
            <w:t>培养评价</w:t>
          </w:r>
          <w:r>
            <w:tab/>
          </w:r>
          <w:r>
            <w:fldChar w:fldCharType="begin"/>
          </w:r>
          <w:r>
            <w:instrText xml:space="preserve"> PAGEREF _Toc533861940 \h </w:instrText>
          </w:r>
          <w:r>
            <w:fldChar w:fldCharType="separate"/>
          </w:r>
          <w:r>
            <w:t>20</w:t>
          </w:r>
          <w:r>
            <w:fldChar w:fldCharType="end"/>
          </w:r>
          <w:r>
            <w:fldChar w:fldCharType="end"/>
          </w:r>
        </w:p>
        <w:p>
          <w:pPr>
            <w:pStyle w:val="8"/>
            <w:tabs>
              <w:tab w:val="right" w:leader="dot" w:pos="9060"/>
            </w:tabs>
            <w:rPr>
              <w:rFonts w:asciiTheme="minorHAnsi" w:hAnsiTheme="minorHAnsi" w:eastAsiaTheme="minorEastAsia" w:cstheme="minorBidi"/>
            </w:rPr>
          </w:pPr>
          <w:r>
            <w:fldChar w:fldCharType="begin"/>
          </w:r>
          <w:r>
            <w:instrText xml:space="preserve"> HYPERLINK \l "_Toc533861941" </w:instrText>
          </w:r>
          <w:r>
            <w:fldChar w:fldCharType="separate"/>
          </w:r>
          <w:r>
            <w:rPr>
              <w:rStyle w:val="17"/>
              <w:rFonts w:hint="eastAsia"/>
            </w:rPr>
            <w:t>（一）对</w:t>
          </w:r>
          <w:r>
            <w:rPr>
              <w:rStyle w:val="17"/>
              <w:rFonts w:hint="eastAsia" w:ascii="宋体" w:hAnsi="宋体"/>
            </w:rPr>
            <w:t>学校</w:t>
          </w:r>
          <w:r>
            <w:rPr>
              <w:rStyle w:val="17"/>
              <w:rFonts w:hint="eastAsia"/>
            </w:rPr>
            <w:t>人才培养结果的满意度</w:t>
          </w:r>
          <w:r>
            <w:tab/>
          </w:r>
          <w:r>
            <w:fldChar w:fldCharType="begin"/>
          </w:r>
          <w:r>
            <w:instrText xml:space="preserve"> PAGEREF _Toc533861941 \h </w:instrText>
          </w:r>
          <w:r>
            <w:fldChar w:fldCharType="separate"/>
          </w:r>
          <w:r>
            <w:t>20</w:t>
          </w:r>
          <w:r>
            <w:fldChar w:fldCharType="end"/>
          </w:r>
          <w:r>
            <w:fldChar w:fldCharType="end"/>
          </w:r>
        </w:p>
        <w:p>
          <w:pPr>
            <w:pStyle w:val="8"/>
            <w:tabs>
              <w:tab w:val="right" w:leader="dot" w:pos="9060"/>
            </w:tabs>
            <w:rPr>
              <w:rFonts w:asciiTheme="minorHAnsi" w:hAnsiTheme="minorHAnsi" w:eastAsiaTheme="minorEastAsia" w:cstheme="minorBidi"/>
            </w:rPr>
          </w:pPr>
          <w:r>
            <w:fldChar w:fldCharType="begin"/>
          </w:r>
          <w:r>
            <w:instrText xml:space="preserve"> HYPERLINK \l "_Toc533861942" </w:instrText>
          </w:r>
          <w:r>
            <w:fldChar w:fldCharType="separate"/>
          </w:r>
          <w:r>
            <w:rPr>
              <w:rStyle w:val="17"/>
              <w:rFonts w:hint="eastAsia"/>
            </w:rPr>
            <w:t>（二）对学校人才培养的评价</w:t>
          </w:r>
          <w:r>
            <w:tab/>
          </w:r>
          <w:r>
            <w:fldChar w:fldCharType="begin"/>
          </w:r>
          <w:r>
            <w:instrText xml:space="preserve"> PAGEREF _Toc533861942 \h </w:instrText>
          </w:r>
          <w:r>
            <w:fldChar w:fldCharType="separate"/>
          </w:r>
          <w:r>
            <w:t>20</w:t>
          </w:r>
          <w:r>
            <w:fldChar w:fldCharType="end"/>
          </w:r>
          <w:r>
            <w:fldChar w:fldCharType="end"/>
          </w:r>
        </w:p>
        <w:p>
          <w:pPr>
            <w:pStyle w:val="8"/>
            <w:tabs>
              <w:tab w:val="right" w:leader="dot" w:pos="9060"/>
            </w:tabs>
            <w:rPr>
              <w:rFonts w:asciiTheme="minorHAnsi" w:hAnsiTheme="minorHAnsi" w:eastAsiaTheme="minorEastAsia" w:cstheme="minorBidi"/>
            </w:rPr>
          </w:pPr>
          <w:r>
            <w:fldChar w:fldCharType="begin"/>
          </w:r>
          <w:r>
            <w:instrText xml:space="preserve"> HYPERLINK \l "_Toc533861943" </w:instrText>
          </w:r>
          <w:r>
            <w:fldChar w:fldCharType="separate"/>
          </w:r>
          <w:r>
            <w:rPr>
              <w:rStyle w:val="17"/>
              <w:rFonts w:hint="eastAsia"/>
            </w:rPr>
            <w:t>（三）对学校教育教学的反馈意见</w:t>
          </w:r>
          <w:r>
            <w:tab/>
          </w:r>
          <w:r>
            <w:fldChar w:fldCharType="begin"/>
          </w:r>
          <w:r>
            <w:instrText xml:space="preserve"> PAGEREF _Toc533861943 \h </w:instrText>
          </w:r>
          <w:r>
            <w:fldChar w:fldCharType="separate"/>
          </w:r>
          <w:r>
            <w:t>21</w:t>
          </w:r>
          <w:r>
            <w:fldChar w:fldCharType="end"/>
          </w:r>
          <w:r>
            <w:fldChar w:fldCharType="end"/>
          </w:r>
        </w:p>
        <w:p>
          <w:pPr>
            <w:pStyle w:val="8"/>
            <w:tabs>
              <w:tab w:val="right" w:leader="dot" w:pos="9060"/>
            </w:tabs>
            <w:rPr>
              <w:rFonts w:asciiTheme="minorHAnsi" w:hAnsiTheme="minorHAnsi" w:eastAsiaTheme="minorEastAsia" w:cstheme="minorBidi"/>
            </w:rPr>
          </w:pPr>
          <w:r>
            <w:fldChar w:fldCharType="begin"/>
          </w:r>
          <w:r>
            <w:instrText xml:space="preserve"> HYPERLINK \l "_Toc533861944" </w:instrText>
          </w:r>
          <w:r>
            <w:fldChar w:fldCharType="separate"/>
          </w:r>
          <w:r>
            <w:rPr>
              <w:rStyle w:val="17"/>
              <w:rFonts w:hint="eastAsia"/>
            </w:rPr>
            <w:t>（四）对就业指导服务的反馈建议</w:t>
          </w:r>
          <w:r>
            <w:tab/>
          </w:r>
          <w:r>
            <w:fldChar w:fldCharType="begin"/>
          </w:r>
          <w:r>
            <w:instrText xml:space="preserve"> PAGEREF _Toc533861944 \h </w:instrText>
          </w:r>
          <w:r>
            <w:fldChar w:fldCharType="separate"/>
          </w:r>
          <w:r>
            <w:t>21</w:t>
          </w:r>
          <w:r>
            <w:fldChar w:fldCharType="end"/>
          </w:r>
          <w:r>
            <w:fldChar w:fldCharType="end"/>
          </w:r>
        </w:p>
        <w:p>
          <w:pPr>
            <w:pStyle w:val="14"/>
            <w:tabs>
              <w:tab w:val="right" w:leader="dot" w:pos="9060"/>
            </w:tabs>
            <w:rPr>
              <w:rFonts w:asciiTheme="minorHAnsi" w:hAnsiTheme="minorHAnsi" w:eastAsiaTheme="minorEastAsia" w:cstheme="minorBidi"/>
            </w:rPr>
          </w:pPr>
          <w:r>
            <w:fldChar w:fldCharType="begin"/>
          </w:r>
          <w:r>
            <w:instrText xml:space="preserve"> HYPERLINK \l "_Toc533861945" </w:instrText>
          </w:r>
          <w:r>
            <w:fldChar w:fldCharType="separate"/>
          </w:r>
          <w:r>
            <w:rPr>
              <w:rStyle w:val="17"/>
              <w:rFonts w:hint="eastAsia" w:ascii="宋体" w:hAnsi="宋体"/>
            </w:rPr>
            <w:t>二、就业质量</w:t>
          </w:r>
          <w:r>
            <w:rPr>
              <w:rStyle w:val="17"/>
              <w:rFonts w:hint="eastAsia"/>
            </w:rPr>
            <w:t>相关分析</w:t>
          </w:r>
          <w:r>
            <w:tab/>
          </w:r>
          <w:r>
            <w:fldChar w:fldCharType="begin"/>
          </w:r>
          <w:r>
            <w:instrText xml:space="preserve"> PAGEREF _Toc533861945 \h </w:instrText>
          </w:r>
          <w:r>
            <w:fldChar w:fldCharType="separate"/>
          </w:r>
          <w:r>
            <w:t>22</w:t>
          </w:r>
          <w:r>
            <w:fldChar w:fldCharType="end"/>
          </w:r>
          <w:r>
            <w:fldChar w:fldCharType="end"/>
          </w:r>
        </w:p>
        <w:p>
          <w:pPr>
            <w:pStyle w:val="8"/>
            <w:tabs>
              <w:tab w:val="right" w:leader="dot" w:pos="9060"/>
            </w:tabs>
            <w:rPr>
              <w:rFonts w:asciiTheme="minorHAnsi" w:hAnsiTheme="minorHAnsi" w:eastAsiaTheme="minorEastAsia" w:cstheme="minorBidi"/>
            </w:rPr>
          </w:pPr>
          <w:r>
            <w:fldChar w:fldCharType="begin"/>
          </w:r>
          <w:r>
            <w:instrText xml:space="preserve"> HYPERLINK \l "_Toc533861946" </w:instrText>
          </w:r>
          <w:r>
            <w:fldChar w:fldCharType="separate"/>
          </w:r>
          <w:r>
            <w:rPr>
              <w:rStyle w:val="17"/>
              <w:rFonts w:hint="eastAsia"/>
            </w:rPr>
            <w:t>（一）工作满意度</w:t>
          </w:r>
          <w:r>
            <w:tab/>
          </w:r>
          <w:r>
            <w:fldChar w:fldCharType="begin"/>
          </w:r>
          <w:r>
            <w:instrText xml:space="preserve"> PAGEREF _Toc533861946 \h </w:instrText>
          </w:r>
          <w:r>
            <w:fldChar w:fldCharType="separate"/>
          </w:r>
          <w:r>
            <w:t>22</w:t>
          </w:r>
          <w:r>
            <w:fldChar w:fldCharType="end"/>
          </w:r>
          <w:r>
            <w:fldChar w:fldCharType="end"/>
          </w:r>
        </w:p>
        <w:p>
          <w:pPr>
            <w:pStyle w:val="8"/>
            <w:tabs>
              <w:tab w:val="right" w:leader="dot" w:pos="9060"/>
            </w:tabs>
            <w:rPr>
              <w:rFonts w:asciiTheme="minorHAnsi" w:hAnsiTheme="minorHAnsi" w:eastAsiaTheme="minorEastAsia" w:cstheme="minorBidi"/>
            </w:rPr>
          </w:pPr>
          <w:r>
            <w:fldChar w:fldCharType="begin"/>
          </w:r>
          <w:r>
            <w:instrText xml:space="preserve"> HYPERLINK \l "_Toc533861947" </w:instrText>
          </w:r>
          <w:r>
            <w:fldChar w:fldCharType="separate"/>
          </w:r>
          <w:r>
            <w:rPr>
              <w:rStyle w:val="17"/>
              <w:rFonts w:hint="eastAsia"/>
            </w:rPr>
            <w:t>（二）薪资水平</w:t>
          </w:r>
          <w:r>
            <w:tab/>
          </w:r>
          <w:r>
            <w:fldChar w:fldCharType="begin"/>
          </w:r>
          <w:r>
            <w:instrText xml:space="preserve"> PAGEREF _Toc533861947 \h </w:instrText>
          </w:r>
          <w:r>
            <w:fldChar w:fldCharType="separate"/>
          </w:r>
          <w:r>
            <w:t>22</w:t>
          </w:r>
          <w:r>
            <w:fldChar w:fldCharType="end"/>
          </w:r>
          <w:r>
            <w:fldChar w:fldCharType="end"/>
          </w:r>
        </w:p>
        <w:p>
          <w:pPr>
            <w:pStyle w:val="14"/>
            <w:tabs>
              <w:tab w:val="right" w:leader="dot" w:pos="9060"/>
            </w:tabs>
            <w:rPr>
              <w:rFonts w:asciiTheme="minorHAnsi" w:hAnsiTheme="minorHAnsi" w:eastAsiaTheme="minorEastAsia" w:cstheme="minorBidi"/>
            </w:rPr>
          </w:pPr>
          <w:r>
            <w:fldChar w:fldCharType="begin"/>
          </w:r>
          <w:r>
            <w:instrText xml:space="preserve"> HYPERLINK \l "_Toc533861948" </w:instrText>
          </w:r>
          <w:r>
            <w:fldChar w:fldCharType="separate"/>
          </w:r>
          <w:r>
            <w:rPr>
              <w:rStyle w:val="17"/>
              <w:rFonts w:hint="eastAsia" w:ascii="宋体" w:hAnsi="宋体"/>
            </w:rPr>
            <w:t>三、用人单位对毕业生的评价</w:t>
          </w:r>
          <w:r>
            <w:tab/>
          </w:r>
          <w:r>
            <w:fldChar w:fldCharType="begin"/>
          </w:r>
          <w:r>
            <w:instrText xml:space="preserve"> PAGEREF _Toc533861948 \h </w:instrText>
          </w:r>
          <w:r>
            <w:fldChar w:fldCharType="separate"/>
          </w:r>
          <w:r>
            <w:t>23</w:t>
          </w:r>
          <w:r>
            <w:fldChar w:fldCharType="end"/>
          </w:r>
          <w:r>
            <w:fldChar w:fldCharType="end"/>
          </w:r>
        </w:p>
        <w:p>
          <w:pPr>
            <w:pStyle w:val="8"/>
            <w:tabs>
              <w:tab w:val="right" w:leader="dot" w:pos="9060"/>
            </w:tabs>
            <w:rPr>
              <w:rFonts w:asciiTheme="minorHAnsi" w:hAnsiTheme="minorHAnsi" w:eastAsiaTheme="minorEastAsia" w:cstheme="minorBidi"/>
            </w:rPr>
          </w:pPr>
          <w:r>
            <w:fldChar w:fldCharType="begin"/>
          </w:r>
          <w:r>
            <w:instrText xml:space="preserve"> HYPERLINK \l "_Toc533861949" </w:instrText>
          </w:r>
          <w:r>
            <w:fldChar w:fldCharType="separate"/>
          </w:r>
          <w:r>
            <w:rPr>
              <w:rStyle w:val="17"/>
              <w:rFonts w:hint="eastAsia"/>
            </w:rPr>
            <w:t>（一）对毕业生就业竞争力的评价</w:t>
          </w:r>
          <w:r>
            <w:tab/>
          </w:r>
          <w:r>
            <w:fldChar w:fldCharType="begin"/>
          </w:r>
          <w:r>
            <w:instrText xml:space="preserve"> PAGEREF _Toc533861949 \h </w:instrText>
          </w:r>
          <w:r>
            <w:fldChar w:fldCharType="separate"/>
          </w:r>
          <w:r>
            <w:t>23</w:t>
          </w:r>
          <w:r>
            <w:fldChar w:fldCharType="end"/>
          </w:r>
          <w:r>
            <w:fldChar w:fldCharType="end"/>
          </w:r>
        </w:p>
        <w:p>
          <w:pPr>
            <w:pStyle w:val="8"/>
            <w:tabs>
              <w:tab w:val="right" w:leader="dot" w:pos="9060"/>
            </w:tabs>
            <w:rPr>
              <w:rFonts w:asciiTheme="minorHAnsi" w:hAnsiTheme="minorHAnsi" w:eastAsiaTheme="minorEastAsia" w:cstheme="minorBidi"/>
            </w:rPr>
          </w:pPr>
          <w:r>
            <w:fldChar w:fldCharType="begin"/>
          </w:r>
          <w:r>
            <w:instrText xml:space="preserve"> HYPERLINK \l "_Toc533861950" </w:instrText>
          </w:r>
          <w:r>
            <w:fldChar w:fldCharType="separate"/>
          </w:r>
          <w:r>
            <w:rPr>
              <w:rStyle w:val="17"/>
              <w:rFonts w:hint="eastAsia"/>
            </w:rPr>
            <w:t>（二）对毕业生的认可度</w:t>
          </w:r>
          <w:r>
            <w:tab/>
          </w:r>
          <w:r>
            <w:fldChar w:fldCharType="begin"/>
          </w:r>
          <w:r>
            <w:instrText xml:space="preserve"> PAGEREF _Toc533861950 \h </w:instrText>
          </w:r>
          <w:r>
            <w:fldChar w:fldCharType="separate"/>
          </w:r>
          <w:r>
            <w:t>24</w:t>
          </w:r>
          <w:r>
            <w:fldChar w:fldCharType="end"/>
          </w:r>
          <w:r>
            <w:fldChar w:fldCharType="end"/>
          </w:r>
        </w:p>
        <w:p>
          <w:pPr>
            <w:pStyle w:val="13"/>
            <w:rPr>
              <w:rFonts w:asciiTheme="minorHAnsi" w:hAnsiTheme="minorHAnsi" w:eastAsiaTheme="minorEastAsia" w:cstheme="minorBidi"/>
            </w:rPr>
          </w:pPr>
          <w:r>
            <w:fldChar w:fldCharType="begin"/>
          </w:r>
          <w:r>
            <w:instrText xml:space="preserve"> HYPERLINK \l "_Toc533861951" </w:instrText>
          </w:r>
          <w:r>
            <w:fldChar w:fldCharType="separate"/>
          </w:r>
          <w:r>
            <w:rPr>
              <w:rStyle w:val="17"/>
              <w:rFonts w:hint="eastAsia" w:ascii="宋体" w:hAnsi="宋体"/>
              <w:b/>
            </w:rPr>
            <w:t>第四篇</w:t>
          </w:r>
          <w:r>
            <w:rPr>
              <w:rStyle w:val="17"/>
              <w:rFonts w:ascii="宋体" w:hAnsi="宋体"/>
              <w:b/>
            </w:rPr>
            <w:t xml:space="preserve"> </w:t>
          </w:r>
          <w:r>
            <w:rPr>
              <w:rStyle w:val="17"/>
              <w:rFonts w:hint="eastAsia" w:ascii="宋体" w:hAnsi="宋体"/>
              <w:b/>
            </w:rPr>
            <w:t>毕业生就业对学院教育教学的反馈</w:t>
          </w:r>
          <w:r>
            <w:tab/>
          </w:r>
          <w:r>
            <w:fldChar w:fldCharType="begin"/>
          </w:r>
          <w:r>
            <w:instrText xml:space="preserve"> PAGEREF _Toc533861951 \h </w:instrText>
          </w:r>
          <w:r>
            <w:fldChar w:fldCharType="separate"/>
          </w:r>
          <w:r>
            <w:t>25</w:t>
          </w:r>
          <w:r>
            <w:fldChar w:fldCharType="end"/>
          </w:r>
          <w:r>
            <w:fldChar w:fldCharType="end"/>
          </w:r>
        </w:p>
        <w:p>
          <w:pPr>
            <w:pStyle w:val="14"/>
            <w:tabs>
              <w:tab w:val="right" w:leader="dot" w:pos="9060"/>
            </w:tabs>
            <w:rPr>
              <w:rFonts w:asciiTheme="minorHAnsi" w:hAnsiTheme="minorHAnsi" w:eastAsiaTheme="minorEastAsia" w:cstheme="minorBidi"/>
            </w:rPr>
          </w:pPr>
          <w:r>
            <w:fldChar w:fldCharType="begin"/>
          </w:r>
          <w:r>
            <w:instrText xml:space="preserve"> HYPERLINK \l "_Toc533861952" </w:instrText>
          </w:r>
          <w:r>
            <w:fldChar w:fldCharType="separate"/>
          </w:r>
          <w:r>
            <w:rPr>
              <w:rStyle w:val="17"/>
              <w:rFonts w:hint="eastAsia" w:ascii="宋体" w:hAnsi="宋体"/>
            </w:rPr>
            <w:t>一、毕业生就业质量整体满意度的反馈</w:t>
          </w:r>
          <w:r>
            <w:tab/>
          </w:r>
          <w:r>
            <w:fldChar w:fldCharType="begin"/>
          </w:r>
          <w:r>
            <w:instrText xml:space="preserve"> PAGEREF _Toc533861952 \h </w:instrText>
          </w:r>
          <w:r>
            <w:fldChar w:fldCharType="separate"/>
          </w:r>
          <w:r>
            <w:t>25</w:t>
          </w:r>
          <w:r>
            <w:fldChar w:fldCharType="end"/>
          </w:r>
          <w:r>
            <w:fldChar w:fldCharType="end"/>
          </w:r>
        </w:p>
        <w:p>
          <w:pPr>
            <w:pStyle w:val="14"/>
            <w:tabs>
              <w:tab w:val="right" w:leader="dot" w:pos="9060"/>
            </w:tabs>
            <w:rPr>
              <w:rFonts w:asciiTheme="minorHAnsi" w:hAnsiTheme="minorHAnsi" w:eastAsiaTheme="minorEastAsia" w:cstheme="minorBidi"/>
            </w:rPr>
          </w:pPr>
          <w:r>
            <w:fldChar w:fldCharType="begin"/>
          </w:r>
          <w:r>
            <w:instrText xml:space="preserve"> HYPERLINK \l "_Toc533861953" </w:instrText>
          </w:r>
          <w:r>
            <w:fldChar w:fldCharType="separate"/>
          </w:r>
          <w:r>
            <w:rPr>
              <w:rStyle w:val="17"/>
              <w:rFonts w:hint="eastAsia" w:ascii="宋体" w:hAnsi="宋体"/>
            </w:rPr>
            <w:t>二、毕业生对学校满意度的反馈</w:t>
          </w:r>
          <w:r>
            <w:tab/>
          </w:r>
          <w:r>
            <w:fldChar w:fldCharType="begin"/>
          </w:r>
          <w:r>
            <w:instrText xml:space="preserve"> PAGEREF _Toc533861953 \h </w:instrText>
          </w:r>
          <w:r>
            <w:fldChar w:fldCharType="separate"/>
          </w:r>
          <w:r>
            <w:t>25</w:t>
          </w:r>
          <w:r>
            <w:fldChar w:fldCharType="end"/>
          </w:r>
          <w:r>
            <w:fldChar w:fldCharType="end"/>
          </w:r>
        </w:p>
        <w:p>
          <w:pPr>
            <w:pStyle w:val="14"/>
            <w:tabs>
              <w:tab w:val="right" w:leader="dot" w:pos="9060"/>
            </w:tabs>
            <w:rPr>
              <w:rFonts w:asciiTheme="minorHAnsi" w:hAnsiTheme="minorHAnsi" w:eastAsiaTheme="minorEastAsia" w:cstheme="minorBidi"/>
            </w:rPr>
          </w:pPr>
          <w:r>
            <w:fldChar w:fldCharType="begin"/>
          </w:r>
          <w:r>
            <w:instrText xml:space="preserve"> HYPERLINK \l "_Toc533861954" </w:instrText>
          </w:r>
          <w:r>
            <w:fldChar w:fldCharType="separate"/>
          </w:r>
          <w:r>
            <w:rPr>
              <w:rStyle w:val="17"/>
              <w:rFonts w:hint="eastAsia" w:ascii="宋体" w:hAnsi="宋体"/>
            </w:rPr>
            <w:t>三、用人单位对毕业生和学校满意度的反馈</w:t>
          </w:r>
          <w:r>
            <w:tab/>
          </w:r>
          <w:r>
            <w:fldChar w:fldCharType="begin"/>
          </w:r>
          <w:r>
            <w:instrText xml:space="preserve"> PAGEREF _Toc533861954 \h </w:instrText>
          </w:r>
          <w:r>
            <w:fldChar w:fldCharType="separate"/>
          </w:r>
          <w:r>
            <w:t>26</w:t>
          </w:r>
          <w:r>
            <w:fldChar w:fldCharType="end"/>
          </w:r>
          <w:r>
            <w:fldChar w:fldCharType="end"/>
          </w:r>
        </w:p>
        <w:p>
          <w:pPr>
            <w:pStyle w:val="14"/>
            <w:tabs>
              <w:tab w:val="right" w:leader="dot" w:pos="9060"/>
            </w:tabs>
            <w:spacing w:line="480" w:lineRule="exact"/>
            <w:rPr>
              <w:sz w:val="28"/>
              <w:szCs w:val="28"/>
            </w:rPr>
          </w:pPr>
          <w:r>
            <w:rPr>
              <w:sz w:val="28"/>
              <w:szCs w:val="28"/>
            </w:rPr>
            <w:fldChar w:fldCharType="end"/>
          </w:r>
        </w:p>
      </w:sdtContent>
    </w:sdt>
    <w:p>
      <w:pPr>
        <w:pStyle w:val="2"/>
        <w:sectPr>
          <w:headerReference r:id="rId4" w:type="default"/>
          <w:footerReference r:id="rId5" w:type="default"/>
          <w:pgSz w:w="11906" w:h="16838"/>
          <w:pgMar w:top="1474" w:right="1418" w:bottom="1418" w:left="1418" w:header="851" w:footer="992" w:gutter="0"/>
          <w:pgNumType w:fmt="upperRoman" w:start="1"/>
          <w:cols w:space="425" w:num="1"/>
          <w:docGrid w:type="lines" w:linePitch="312" w:charSpace="0"/>
        </w:sectPr>
      </w:pPr>
    </w:p>
    <w:p>
      <w:pPr>
        <w:pStyle w:val="2"/>
      </w:pPr>
      <w:bookmarkStart w:id="5" w:name="_Toc533861901"/>
      <w:r>
        <w:rPr>
          <w:rFonts w:hint="eastAsia"/>
        </w:rPr>
        <w:t>学院概况</w:t>
      </w:r>
      <w:bookmarkEnd w:id="5"/>
    </w:p>
    <w:p>
      <w:pPr>
        <w:spacing w:line="560" w:lineRule="exact"/>
        <w:ind w:firstLine="480" w:firstLineChars="200"/>
        <w:rPr>
          <w:rFonts w:ascii="宋体" w:hAnsi="宋体"/>
          <w:sz w:val="24"/>
          <w:szCs w:val="24"/>
        </w:rPr>
      </w:pPr>
      <w:r>
        <w:rPr>
          <w:rFonts w:hint="eastAsia" w:ascii="宋体" w:hAnsi="宋体"/>
          <w:sz w:val="24"/>
          <w:szCs w:val="24"/>
        </w:rPr>
        <w:t>甘肃畜牧工程职业技术学院地处武威市凉州区黄羊镇，是2004年6月经省人民政府批准，由始建于1952年的原甘肃省畜牧学校和始建于1958年的原甘肃省农业机械化学校两所国家级重点中专合并组建的专科层次普通高等学校，是“省级示范性高等职业院校”,是“甘肃省优质高等职业院校”，隶属省教育厅。学院同时加挂“甘肃畜牧工程干部培训学院”和“甘肃威龙葡萄酒学院”的牌子。</w:t>
      </w:r>
    </w:p>
    <w:p>
      <w:pPr>
        <w:spacing w:line="560" w:lineRule="exact"/>
        <w:ind w:firstLine="480" w:firstLineChars="200"/>
        <w:rPr>
          <w:rFonts w:ascii="宋体"/>
          <w:sz w:val="24"/>
          <w:szCs w:val="24"/>
        </w:rPr>
      </w:pPr>
      <w:r>
        <w:rPr>
          <w:rFonts w:hint="eastAsia" w:ascii="宋体" w:hAnsi="宋体"/>
          <w:sz w:val="24"/>
          <w:szCs w:val="24"/>
        </w:rPr>
        <w:t>在</w:t>
      </w:r>
      <w:r>
        <w:rPr>
          <w:rFonts w:ascii="宋体" w:hAnsi="宋体"/>
          <w:sz w:val="24"/>
          <w:szCs w:val="24"/>
        </w:rPr>
        <w:t>67</w:t>
      </w:r>
      <w:r>
        <w:rPr>
          <w:rFonts w:hint="eastAsia" w:ascii="宋体" w:hAnsi="宋体"/>
          <w:sz w:val="24"/>
          <w:szCs w:val="24"/>
        </w:rPr>
        <w:t>年的办学历史中，学院始终坚持“以质量求生存，以特色求发展”的办学理念，践行“自强、明德、尚能、笃行”的校训和“求真、求实、进取、敬业”的校风，发扬“艰苦奋斗，无私奉献，注重实践，勇于创新”的办学传统，励精图治，辛勤耕耘，为国家培养了</w:t>
      </w:r>
      <w:r>
        <w:rPr>
          <w:rFonts w:ascii="宋体" w:hAnsi="宋体"/>
          <w:sz w:val="24"/>
          <w:szCs w:val="24"/>
        </w:rPr>
        <w:t>8</w:t>
      </w:r>
      <w:r>
        <w:rPr>
          <w:rFonts w:hint="eastAsia" w:ascii="宋体" w:hAnsi="宋体"/>
          <w:sz w:val="24"/>
          <w:szCs w:val="24"/>
        </w:rPr>
        <w:t>万余名高素质技术技能人才。</w:t>
      </w:r>
    </w:p>
    <w:p>
      <w:pPr>
        <w:spacing w:line="560" w:lineRule="exact"/>
        <w:ind w:firstLine="480" w:firstLineChars="200"/>
        <w:rPr>
          <w:rFonts w:ascii="宋体" w:hAnsi="宋体"/>
          <w:sz w:val="24"/>
          <w:szCs w:val="24"/>
        </w:rPr>
      </w:pPr>
      <w:r>
        <w:rPr>
          <w:rFonts w:hint="eastAsia" w:ascii="宋体" w:hAnsi="宋体"/>
          <w:sz w:val="24"/>
          <w:szCs w:val="24"/>
        </w:rPr>
        <w:t>学院地处中国旅游标志铜奔马的故乡、中国“石窟鼻祖”天梯山脚下</w:t>
      </w:r>
      <w:r>
        <w:rPr>
          <w:rFonts w:ascii="宋体" w:hAnsi="宋体"/>
          <w:sz w:val="24"/>
          <w:szCs w:val="24"/>
        </w:rPr>
        <w:t>——</w:t>
      </w:r>
      <w:r>
        <w:rPr>
          <w:rFonts w:hint="eastAsia" w:ascii="宋体" w:hAnsi="宋体"/>
          <w:sz w:val="24"/>
          <w:szCs w:val="24"/>
        </w:rPr>
        <w:t>武威市凉州区黄羊镇，占地面积2200亩，其中校园占地800亩，实习农牧场1400亩；校舍建筑面积20万平方米。固定资产3亿多元，其中教学仪器设备总值1.2亿多元。图书馆藏书40万余册，电子图书50万册，中外文期刊300多种。</w:t>
      </w:r>
    </w:p>
    <w:p>
      <w:pPr>
        <w:spacing w:line="560" w:lineRule="exact"/>
        <w:ind w:firstLine="480" w:firstLineChars="200"/>
        <w:rPr>
          <w:rFonts w:ascii="宋体" w:hAnsi="宋体"/>
          <w:sz w:val="24"/>
          <w:szCs w:val="24"/>
        </w:rPr>
      </w:pPr>
      <w:r>
        <w:rPr>
          <w:rFonts w:hint="eastAsia" w:ascii="宋体" w:hAnsi="宋体"/>
          <w:sz w:val="24"/>
          <w:szCs w:val="24"/>
        </w:rPr>
        <w:t>学院办学规模8000人。现有教职工336人，其中专兼职教师310人，教授26人、副教授110人，有博士2人、硕士88人。“双师”型教师117人，省内外特聘专家教授76人。甘肃省“园丁奖”2名，甘肃省先进工作者1人，甘肃省教学名师3人，甘肃省青年教师成才奖6人。</w:t>
      </w:r>
    </w:p>
    <w:p>
      <w:pPr>
        <w:spacing w:line="560" w:lineRule="exact"/>
        <w:ind w:firstLine="480" w:firstLineChars="200"/>
        <w:rPr>
          <w:rFonts w:ascii="宋体" w:hAnsi="宋体"/>
          <w:sz w:val="24"/>
          <w:szCs w:val="24"/>
        </w:rPr>
      </w:pPr>
      <w:r>
        <w:rPr>
          <w:rFonts w:hint="eastAsia" w:ascii="宋体" w:hAnsi="宋体"/>
          <w:sz w:val="24"/>
          <w:szCs w:val="24"/>
        </w:rPr>
        <w:t>学院设有畜牧系、兽医系、车辆工程系、机械工程系、电子信息工程系、食品科学系、经济贸易与人文科学系、思想政治理论课教学部、体育与艺术教学部等。开设畜牧、兽医、农业机械、车辆工程、机械工程、电子信息工程、食品科学、葡萄与葡萄酒工程、经济贸易与人文等9大专业类群44个专业。有3个省级特色专业，10门省级精品课程，2个省级教学团队。</w:t>
      </w:r>
    </w:p>
    <w:p>
      <w:pPr>
        <w:spacing w:line="560" w:lineRule="exact"/>
        <w:ind w:firstLine="480" w:firstLineChars="200"/>
        <w:rPr>
          <w:rFonts w:ascii="宋体" w:hAnsi="宋体"/>
          <w:sz w:val="24"/>
          <w:szCs w:val="24"/>
        </w:rPr>
      </w:pPr>
      <w:r>
        <w:rPr>
          <w:rFonts w:hint="eastAsia" w:ascii="宋体" w:hAnsi="宋体"/>
          <w:sz w:val="24"/>
          <w:szCs w:val="24"/>
        </w:rPr>
        <w:t>学院现有实习牧场、实习工厂、动物医院、汽车驾驶员培训学校、汽车实训服务中心、农业机械实训中心、电子电气实训中心等校内实训基地110个，稳定的校外实训基地134个。</w:t>
      </w:r>
    </w:p>
    <w:p>
      <w:pPr>
        <w:spacing w:line="560" w:lineRule="exact"/>
        <w:ind w:firstLine="480" w:firstLineChars="200"/>
        <w:rPr>
          <w:rFonts w:ascii="宋体" w:hAnsi="宋体"/>
          <w:sz w:val="24"/>
          <w:szCs w:val="24"/>
        </w:rPr>
      </w:pPr>
      <w:r>
        <w:rPr>
          <w:rFonts w:hint="eastAsia" w:ascii="宋体" w:hAnsi="宋体"/>
          <w:sz w:val="24"/>
          <w:szCs w:val="24"/>
        </w:rPr>
        <w:t>学院坚持以立德树人为根本，以服务发展为宗旨，以促进就业为导向，工学结合、校企合作，先后与大北农集团、四川铁骑力士集团、中粮家佳康（张北）有限公司、北京恩宠天地商贸有限公司、北京维嘉集团、东风商用车总公司、酒泉奥凯种子机械有限公司、上海松下电器（中国）有限公司、达利集团、禾丰牧业等</w:t>
      </w:r>
      <w:r>
        <w:rPr>
          <w:rFonts w:ascii="宋体" w:hAnsi="宋体"/>
          <w:sz w:val="24"/>
          <w:szCs w:val="24"/>
        </w:rPr>
        <w:t>200</w:t>
      </w:r>
      <w:r>
        <w:rPr>
          <w:rFonts w:hint="eastAsia" w:ascii="宋体" w:hAnsi="宋体"/>
          <w:sz w:val="24"/>
          <w:szCs w:val="24"/>
        </w:rPr>
        <w:t>余家大中型企业建立了良好的用人联系和校企合作关系，形成校企战略联盟。先后创办了“大北农班”“铁骑力士班”“中粮班”“恩宠班”“伟嘉班”“东风班”“奥凯班”“威龙班”“禾丰班”“庄园班”等</w:t>
      </w:r>
      <w:r>
        <w:rPr>
          <w:rFonts w:ascii="宋体" w:hAnsi="宋体"/>
          <w:sz w:val="24"/>
          <w:szCs w:val="24"/>
        </w:rPr>
        <w:t>98</w:t>
      </w:r>
      <w:r>
        <w:rPr>
          <w:rFonts w:hint="eastAsia" w:ascii="宋体" w:hAnsi="宋体"/>
          <w:sz w:val="24"/>
          <w:szCs w:val="24"/>
        </w:rPr>
        <w:t>个校企合作班，建成大学生创新创业基地</w:t>
      </w:r>
      <w:r>
        <w:rPr>
          <w:rFonts w:ascii="宋体" w:hAnsi="宋体"/>
          <w:sz w:val="24"/>
          <w:szCs w:val="24"/>
        </w:rPr>
        <w:t>10</w:t>
      </w:r>
      <w:r>
        <w:rPr>
          <w:rFonts w:hint="eastAsia" w:ascii="宋体" w:hAnsi="宋体"/>
          <w:sz w:val="24"/>
          <w:szCs w:val="24"/>
        </w:rPr>
        <w:t>个，为学生跟岗实习、顶岗实训、就业创业搭建了“直通车”。</w:t>
      </w:r>
    </w:p>
    <w:p>
      <w:pPr>
        <w:spacing w:line="560" w:lineRule="exact"/>
        <w:ind w:firstLine="480" w:firstLineChars="200"/>
        <w:rPr>
          <w:rFonts w:ascii="宋体" w:hAnsi="宋体"/>
          <w:sz w:val="24"/>
          <w:szCs w:val="24"/>
        </w:rPr>
      </w:pPr>
      <w:r>
        <w:rPr>
          <w:rFonts w:hint="eastAsia" w:ascii="宋体" w:hAnsi="宋体"/>
          <w:sz w:val="24"/>
          <w:szCs w:val="24"/>
        </w:rPr>
        <w:t>学院附设 “国家农业行业特有工种职业技能鉴定站—013站”“甘肃省第84国家职业技能鉴定所”“甘肃省省级专业技术人员继续教育基地”“甘肃省中小企业网络服务葡萄与葡萄酒工程窗口平台”“国家开放大学（甘肃）甘肃畜牧工程职业技术学院学习中心”等，并与西北师范大学、兰州理工大学、兰州交通大学、甘肃农业大学等联合开办自考本科班。实现了毕业证和岗位等级证“双证制”，并使学有余力的学生在完成高职教育的同时获得自学考试本科文凭。</w:t>
      </w:r>
    </w:p>
    <w:p>
      <w:pPr>
        <w:spacing w:line="560" w:lineRule="exact"/>
        <w:ind w:firstLine="480" w:firstLineChars="200"/>
        <w:rPr>
          <w:rFonts w:ascii="宋体" w:hAnsi="宋体"/>
          <w:sz w:val="24"/>
          <w:szCs w:val="24"/>
        </w:rPr>
        <w:sectPr>
          <w:footerReference r:id="rId6" w:type="default"/>
          <w:pgSz w:w="11906" w:h="16838"/>
          <w:pgMar w:top="1418" w:right="1418" w:bottom="1474" w:left="1418" w:header="851" w:footer="992" w:gutter="0"/>
          <w:pgNumType w:start="1"/>
          <w:cols w:space="425" w:num="1"/>
          <w:docGrid w:type="lines" w:linePitch="312" w:charSpace="0"/>
        </w:sectPr>
      </w:pPr>
      <w:r>
        <w:rPr>
          <w:rFonts w:hint="eastAsia" w:ascii="宋体" w:hAnsi="宋体"/>
          <w:sz w:val="24"/>
          <w:szCs w:val="24"/>
        </w:rPr>
        <w:t>近年来，学院加快建设现代职业教育体系</w:t>
      </w:r>
      <w:r>
        <w:rPr>
          <w:rFonts w:ascii="宋体" w:hAnsi="宋体"/>
          <w:sz w:val="24"/>
          <w:szCs w:val="24"/>
        </w:rPr>
        <w:t>,</w:t>
      </w:r>
      <w:r>
        <w:rPr>
          <w:rFonts w:hint="eastAsia" w:ascii="宋体" w:hAnsi="宋体"/>
          <w:sz w:val="24"/>
          <w:szCs w:val="24"/>
        </w:rPr>
        <w:t>积极探索高等职业教育规律，大力推进教育教学改革，毕业生一次性就业率连续</w:t>
      </w:r>
      <w:r>
        <w:rPr>
          <w:rFonts w:ascii="宋体" w:hAnsi="宋体"/>
          <w:sz w:val="24"/>
          <w:szCs w:val="24"/>
        </w:rPr>
        <w:t>10</w:t>
      </w:r>
      <w:r>
        <w:rPr>
          <w:rFonts w:hint="eastAsia" w:ascii="宋体" w:hAnsi="宋体"/>
          <w:sz w:val="24"/>
          <w:szCs w:val="24"/>
        </w:rPr>
        <w:t>年超过</w:t>
      </w:r>
      <w:r>
        <w:rPr>
          <w:rFonts w:ascii="宋体" w:hAnsi="宋体"/>
          <w:sz w:val="24"/>
          <w:szCs w:val="24"/>
        </w:rPr>
        <w:t>95%</w:t>
      </w:r>
      <w:r>
        <w:rPr>
          <w:rFonts w:hint="eastAsia" w:ascii="宋体" w:hAnsi="宋体"/>
          <w:sz w:val="24"/>
          <w:szCs w:val="24"/>
        </w:rPr>
        <w:t>。学院先后被国家有关部委、省委、省政府和省教育厅等分别授予“全国职业技术教育先进集体”“全国教育系统先进单位”“全国创先争优先进基层党组织”“加强实践教学为农村经济建设服务先进单位”“甘肃省职业教育先进集体”“甘肃省科研推广先进集体”“先进基层党组织”“甘肃省职业技能鉴定先进单位”“甘肃省思想政治工作先进集体”“第九批全国五四红旗团委创建单位”等荣誉称号。</w:t>
      </w:r>
    </w:p>
    <w:p>
      <w:pPr>
        <w:pStyle w:val="2"/>
        <w:rPr>
          <w:rFonts w:ascii="宋体" w:hAnsi="宋体" w:eastAsia="宋体"/>
          <w:b/>
          <w:szCs w:val="32"/>
        </w:rPr>
      </w:pPr>
      <w:bookmarkStart w:id="6" w:name="_Toc533861902"/>
      <w:r>
        <w:rPr>
          <w:rFonts w:hint="eastAsia" w:ascii="宋体" w:hAnsi="宋体" w:eastAsia="宋体"/>
          <w:b/>
          <w:szCs w:val="32"/>
        </w:rPr>
        <w:t>第一篇：毕业生就业基本情况</w:t>
      </w:r>
      <w:bookmarkEnd w:id="0"/>
      <w:bookmarkEnd w:id="1"/>
      <w:bookmarkEnd w:id="6"/>
    </w:p>
    <w:p>
      <w:pPr>
        <w:pStyle w:val="3"/>
        <w:spacing w:before="0" w:after="0" w:line="500" w:lineRule="exact"/>
        <w:ind w:firstLine="643" w:firstLineChars="200"/>
        <w:rPr>
          <w:sz w:val="28"/>
          <w:szCs w:val="28"/>
        </w:rPr>
      </w:pPr>
      <w:bookmarkStart w:id="7" w:name="_Toc533861903"/>
      <w:bookmarkStart w:id="8" w:name="_Toc438627721"/>
      <w:r>
        <w:rPr>
          <w:rFonts w:hint="eastAsia"/>
        </w:rPr>
        <w:t>一、</w:t>
      </w:r>
      <w:r>
        <w:rPr>
          <w:rFonts w:hint="eastAsia"/>
          <w:sz w:val="28"/>
          <w:szCs w:val="28"/>
        </w:rPr>
        <w:t>毕业生的规模</w:t>
      </w:r>
      <w:bookmarkEnd w:id="7"/>
      <w:bookmarkEnd w:id="8"/>
    </w:p>
    <w:p>
      <w:pPr>
        <w:pStyle w:val="4"/>
        <w:spacing w:before="0" w:after="0" w:line="500" w:lineRule="exact"/>
        <w:ind w:firstLine="562" w:firstLineChars="200"/>
        <w:rPr>
          <w:sz w:val="28"/>
          <w:szCs w:val="28"/>
        </w:rPr>
      </w:pPr>
      <w:bookmarkStart w:id="9" w:name="_Toc533861904"/>
      <w:r>
        <w:rPr>
          <w:rFonts w:hint="eastAsia"/>
          <w:sz w:val="28"/>
          <w:szCs w:val="28"/>
        </w:rPr>
        <w:t>（一</w:t>
      </w:r>
      <w:r>
        <w:rPr>
          <w:sz w:val="28"/>
          <w:szCs w:val="28"/>
        </w:rPr>
        <w:t>）</w:t>
      </w:r>
      <w:r>
        <w:rPr>
          <w:rFonts w:hint="eastAsia"/>
          <w:sz w:val="28"/>
          <w:szCs w:val="28"/>
        </w:rPr>
        <w:t>总体</w:t>
      </w:r>
      <w:r>
        <w:rPr>
          <w:sz w:val="28"/>
          <w:szCs w:val="28"/>
        </w:rPr>
        <w:t>规模</w:t>
      </w:r>
      <w:bookmarkEnd w:id="9"/>
    </w:p>
    <w:p>
      <w:pPr>
        <w:spacing w:line="460" w:lineRule="exact"/>
        <w:ind w:firstLine="480" w:firstLineChars="200"/>
        <w:rPr>
          <w:rFonts w:ascii="宋体"/>
          <w:sz w:val="24"/>
          <w:szCs w:val="24"/>
        </w:rPr>
      </w:pPr>
      <w:r>
        <w:rPr>
          <w:rFonts w:hint="eastAsia" w:ascii="宋体" w:hAnsi="宋体"/>
          <w:sz w:val="24"/>
          <w:szCs w:val="24"/>
        </w:rPr>
        <w:t>甘肃畜牧工程职业技术学院</w:t>
      </w:r>
      <w:r>
        <w:rPr>
          <w:rFonts w:ascii="宋体" w:hAnsi="宋体"/>
          <w:sz w:val="24"/>
          <w:szCs w:val="24"/>
        </w:rPr>
        <w:t>201</w:t>
      </w:r>
      <w:r>
        <w:rPr>
          <w:rFonts w:hint="eastAsia" w:ascii="宋体" w:hAnsi="宋体"/>
          <w:sz w:val="24"/>
          <w:szCs w:val="24"/>
        </w:rPr>
        <w:t>8届毕业生共2591人，较上届减少</w:t>
      </w:r>
      <w:r>
        <w:rPr>
          <w:rFonts w:ascii="宋体" w:hAnsi="宋体"/>
          <w:sz w:val="24"/>
          <w:szCs w:val="24"/>
        </w:rPr>
        <w:t>233</w:t>
      </w:r>
      <w:r>
        <w:rPr>
          <w:rFonts w:hint="eastAsia" w:ascii="宋体" w:hAnsi="宋体"/>
          <w:sz w:val="24"/>
          <w:szCs w:val="24"/>
        </w:rPr>
        <w:t>人，降幅</w:t>
      </w:r>
      <w:r>
        <w:rPr>
          <w:rFonts w:ascii="宋体" w:hAnsi="宋体"/>
          <w:sz w:val="24"/>
          <w:szCs w:val="24"/>
        </w:rPr>
        <w:t>8.25%</w:t>
      </w:r>
      <w:r>
        <w:rPr>
          <w:rFonts w:hint="eastAsia" w:ascii="宋体" w:hAnsi="宋体"/>
          <w:sz w:val="24"/>
          <w:szCs w:val="24"/>
        </w:rPr>
        <w:t>。近</w:t>
      </w:r>
      <w:r>
        <w:rPr>
          <w:rFonts w:ascii="宋体" w:hAnsi="宋体"/>
          <w:sz w:val="24"/>
          <w:szCs w:val="24"/>
        </w:rPr>
        <w:t>5</w:t>
      </w:r>
      <w:r>
        <w:rPr>
          <w:rFonts w:hint="eastAsia" w:ascii="宋体" w:hAnsi="宋体"/>
          <w:sz w:val="24"/>
          <w:szCs w:val="24"/>
        </w:rPr>
        <w:t>届（</w:t>
      </w:r>
      <w:r>
        <w:rPr>
          <w:rFonts w:ascii="宋体" w:hAnsi="宋体"/>
          <w:sz w:val="24"/>
          <w:szCs w:val="24"/>
        </w:rPr>
        <w:t>2014</w:t>
      </w:r>
      <w:r>
        <w:rPr>
          <w:rFonts w:hint="eastAsia" w:ascii="宋体" w:hAnsi="宋体"/>
          <w:sz w:val="24"/>
          <w:szCs w:val="24"/>
        </w:rPr>
        <w:t>届～</w:t>
      </w:r>
      <w:r>
        <w:rPr>
          <w:rFonts w:ascii="宋体" w:hAnsi="宋体"/>
          <w:sz w:val="24"/>
          <w:szCs w:val="24"/>
        </w:rPr>
        <w:t>2018</w:t>
      </w:r>
      <w:r>
        <w:rPr>
          <w:rFonts w:hint="eastAsia" w:ascii="宋体" w:hAnsi="宋体"/>
          <w:sz w:val="24"/>
          <w:szCs w:val="24"/>
        </w:rPr>
        <w:t>届）毕业生人数及增减情况如表</w:t>
      </w:r>
      <w:r>
        <w:rPr>
          <w:rFonts w:ascii="宋体" w:hAnsi="宋体"/>
          <w:sz w:val="24"/>
          <w:szCs w:val="24"/>
        </w:rPr>
        <w:t>1-1</w:t>
      </w:r>
      <w:r>
        <w:rPr>
          <w:rFonts w:hint="eastAsia" w:ascii="宋体" w:hAnsi="宋体"/>
          <w:sz w:val="24"/>
          <w:szCs w:val="24"/>
        </w:rPr>
        <w:t>，图</w:t>
      </w:r>
      <w:r>
        <w:rPr>
          <w:rFonts w:ascii="宋体" w:hAnsi="宋体"/>
          <w:sz w:val="24"/>
          <w:szCs w:val="24"/>
        </w:rPr>
        <w:t>1-1</w:t>
      </w:r>
      <w:r>
        <w:rPr>
          <w:rFonts w:hint="eastAsia" w:ascii="宋体" w:hAnsi="宋体"/>
          <w:sz w:val="24"/>
          <w:szCs w:val="24"/>
        </w:rPr>
        <w:t>所示。</w:t>
      </w:r>
    </w:p>
    <w:p>
      <w:pPr>
        <w:tabs>
          <w:tab w:val="left" w:pos="2742"/>
          <w:tab w:val="center" w:pos="4535"/>
        </w:tabs>
        <w:spacing w:after="156" w:afterLines="50" w:line="480" w:lineRule="exact"/>
        <w:ind w:left="141" w:leftChars="67" w:firstLine="141" w:firstLineChars="67"/>
        <w:rPr>
          <w:rFonts w:ascii="宋体"/>
          <w:b/>
          <w:color w:val="000000" w:themeColor="text1"/>
          <w:szCs w:val="21"/>
          <w14:textFill>
            <w14:solidFill>
              <w14:schemeClr w14:val="tx1"/>
            </w14:solidFill>
          </w14:textFill>
        </w:rPr>
      </w:pPr>
      <w:r>
        <w:rPr>
          <w:rFonts w:ascii="宋体" w:hAnsi="宋体"/>
          <w:b/>
          <w:szCs w:val="21"/>
        </w:rPr>
        <w:tab/>
      </w:r>
      <w:r>
        <w:rPr>
          <w:rFonts w:hint="eastAsia" w:ascii="宋体" w:hAnsi="宋体"/>
          <w:b/>
          <w:szCs w:val="21"/>
        </w:rPr>
        <w:t>表</w:t>
      </w:r>
      <w:r>
        <w:rPr>
          <w:rFonts w:ascii="宋体" w:hAnsi="宋体"/>
          <w:b/>
          <w:szCs w:val="21"/>
        </w:rPr>
        <w:t>1-</w:t>
      </w:r>
      <w:r>
        <w:rPr>
          <w:rFonts w:ascii="宋体" w:hAnsi="宋体"/>
          <w:b/>
          <w:color w:val="000000" w:themeColor="text1"/>
          <w:szCs w:val="21"/>
          <w14:textFill>
            <w14:solidFill>
              <w14:schemeClr w14:val="tx1"/>
            </w14:solidFill>
          </w14:textFill>
        </w:rPr>
        <w:t>1  2014</w:t>
      </w:r>
      <w:r>
        <w:rPr>
          <w:rFonts w:hint="eastAsia" w:ascii="宋体" w:hAnsi="宋体"/>
          <w:b/>
          <w:color w:val="000000" w:themeColor="text1"/>
          <w:szCs w:val="21"/>
          <w14:textFill>
            <w14:solidFill>
              <w14:schemeClr w14:val="tx1"/>
            </w14:solidFill>
          </w14:textFill>
        </w:rPr>
        <w:t>届～</w:t>
      </w:r>
      <w:r>
        <w:rPr>
          <w:rFonts w:ascii="宋体" w:hAnsi="宋体"/>
          <w:b/>
          <w:color w:val="000000" w:themeColor="text1"/>
          <w:szCs w:val="21"/>
          <w14:textFill>
            <w14:solidFill>
              <w14:schemeClr w14:val="tx1"/>
            </w14:solidFill>
          </w14:textFill>
        </w:rPr>
        <w:t>2018</w:t>
      </w:r>
      <w:r>
        <w:rPr>
          <w:rFonts w:hint="eastAsia" w:ascii="宋体" w:hAnsi="宋体"/>
          <w:b/>
          <w:color w:val="000000" w:themeColor="text1"/>
          <w:szCs w:val="21"/>
          <w14:textFill>
            <w14:solidFill>
              <w14:schemeClr w14:val="tx1"/>
            </w14:solidFill>
          </w14:textFill>
        </w:rPr>
        <w:t>届毕业生人数</w:t>
      </w:r>
    </w:p>
    <w:tbl>
      <w:tblPr>
        <w:tblStyle w:val="19"/>
        <w:tblW w:w="9155" w:type="dxa"/>
        <w:jc w:val="center"/>
        <w:tblInd w:w="0" w:type="dxa"/>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663"/>
        <w:gridCol w:w="1498"/>
        <w:gridCol w:w="1498"/>
        <w:gridCol w:w="1499"/>
        <w:gridCol w:w="1498"/>
        <w:gridCol w:w="1499"/>
      </w:tblGrid>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80" w:hRule="exact"/>
          <w:jc w:val="center"/>
        </w:trPr>
        <w:tc>
          <w:tcPr>
            <w:tcW w:w="1663" w:type="dxa"/>
            <w:tcBorders>
              <w:top w:val="single" w:color="008000" w:sz="12" w:space="0"/>
              <w:bottom w:val="single" w:color="008000" w:sz="6" w:space="0"/>
            </w:tcBorders>
            <w:vAlign w:val="center"/>
          </w:tcPr>
          <w:p>
            <w:pPr>
              <w:jc w:val="center"/>
              <w:rPr>
                <w:rFonts w:ascii="Times New Roman" w:hAnsi="Times New Roman"/>
                <w:b/>
                <w:color w:val="000000" w:themeColor="text1"/>
                <w:szCs w:val="36"/>
                <w14:textFill>
                  <w14:solidFill>
                    <w14:schemeClr w14:val="tx1"/>
                  </w14:solidFill>
                </w14:textFill>
              </w:rPr>
            </w:pPr>
            <w:r>
              <w:rPr>
                <w:rFonts w:ascii="Times New Roman" w:hAnsi="Times New Roman"/>
                <w:b/>
                <w:color w:val="000000" w:themeColor="text1"/>
                <w:szCs w:val="36"/>
                <w14:textFill>
                  <w14:solidFill>
                    <w14:schemeClr w14:val="tx1"/>
                  </w14:solidFill>
                </w14:textFill>
              </w:rPr>
              <w:t>毕业年份</w:t>
            </w:r>
          </w:p>
        </w:tc>
        <w:tc>
          <w:tcPr>
            <w:tcW w:w="1498" w:type="dxa"/>
            <w:tcBorders>
              <w:top w:val="single" w:color="008000" w:sz="12" w:space="0"/>
              <w:bottom w:val="single" w:color="008000" w:sz="6" w:space="0"/>
            </w:tcBorders>
            <w:vAlign w:val="center"/>
          </w:tcPr>
          <w:p>
            <w:pPr>
              <w:jc w:val="center"/>
              <w:rPr>
                <w:rFonts w:ascii="Times New Roman" w:hAnsi="Times New Roman"/>
                <w:b/>
                <w:color w:val="000000" w:themeColor="text1"/>
                <w:szCs w:val="36"/>
                <w14:textFill>
                  <w14:solidFill>
                    <w14:schemeClr w14:val="tx1"/>
                  </w14:solidFill>
                </w14:textFill>
              </w:rPr>
            </w:pPr>
            <w:r>
              <w:rPr>
                <w:rFonts w:ascii="Times New Roman" w:hAnsi="Times New Roman"/>
                <w:b/>
                <w:color w:val="000000" w:themeColor="text1"/>
                <w:szCs w:val="36"/>
                <w14:textFill>
                  <w14:solidFill>
                    <w14:schemeClr w14:val="tx1"/>
                  </w14:solidFill>
                </w14:textFill>
              </w:rPr>
              <w:t>2014届</w:t>
            </w:r>
          </w:p>
        </w:tc>
        <w:tc>
          <w:tcPr>
            <w:tcW w:w="1498" w:type="dxa"/>
            <w:tcBorders>
              <w:top w:val="single" w:color="008000" w:sz="12" w:space="0"/>
              <w:bottom w:val="single" w:color="008000" w:sz="6" w:space="0"/>
            </w:tcBorders>
            <w:vAlign w:val="center"/>
          </w:tcPr>
          <w:p>
            <w:pPr>
              <w:jc w:val="center"/>
              <w:rPr>
                <w:rFonts w:ascii="Times New Roman" w:hAnsi="Times New Roman"/>
                <w:b/>
                <w:color w:val="000000" w:themeColor="text1"/>
                <w:szCs w:val="36"/>
                <w14:textFill>
                  <w14:solidFill>
                    <w14:schemeClr w14:val="tx1"/>
                  </w14:solidFill>
                </w14:textFill>
              </w:rPr>
            </w:pPr>
            <w:r>
              <w:rPr>
                <w:rFonts w:ascii="Times New Roman" w:hAnsi="Times New Roman"/>
                <w:b/>
                <w:color w:val="000000" w:themeColor="text1"/>
                <w:szCs w:val="36"/>
                <w14:textFill>
                  <w14:solidFill>
                    <w14:schemeClr w14:val="tx1"/>
                  </w14:solidFill>
                </w14:textFill>
              </w:rPr>
              <w:t>2015届</w:t>
            </w:r>
          </w:p>
        </w:tc>
        <w:tc>
          <w:tcPr>
            <w:tcW w:w="1499" w:type="dxa"/>
            <w:tcBorders>
              <w:top w:val="single" w:color="008000" w:sz="12" w:space="0"/>
              <w:bottom w:val="single" w:color="008000" w:sz="6" w:space="0"/>
            </w:tcBorders>
            <w:vAlign w:val="center"/>
          </w:tcPr>
          <w:p>
            <w:pPr>
              <w:jc w:val="center"/>
              <w:rPr>
                <w:rFonts w:ascii="Times New Roman" w:hAnsi="Times New Roman"/>
                <w:b/>
                <w:color w:val="000000" w:themeColor="text1"/>
                <w:szCs w:val="36"/>
                <w14:textFill>
                  <w14:solidFill>
                    <w14:schemeClr w14:val="tx1"/>
                  </w14:solidFill>
                </w14:textFill>
              </w:rPr>
            </w:pPr>
            <w:r>
              <w:rPr>
                <w:rFonts w:ascii="Times New Roman" w:hAnsi="Times New Roman"/>
                <w:b/>
                <w:color w:val="000000" w:themeColor="text1"/>
                <w:szCs w:val="36"/>
                <w14:textFill>
                  <w14:solidFill>
                    <w14:schemeClr w14:val="tx1"/>
                  </w14:solidFill>
                </w14:textFill>
              </w:rPr>
              <w:t>2016届</w:t>
            </w:r>
          </w:p>
        </w:tc>
        <w:tc>
          <w:tcPr>
            <w:tcW w:w="1498" w:type="dxa"/>
            <w:tcBorders>
              <w:top w:val="single" w:color="008000" w:sz="12" w:space="0"/>
              <w:bottom w:val="single" w:color="008000" w:sz="6" w:space="0"/>
            </w:tcBorders>
            <w:vAlign w:val="center"/>
          </w:tcPr>
          <w:p>
            <w:pPr>
              <w:jc w:val="center"/>
              <w:rPr>
                <w:rFonts w:ascii="Times New Roman" w:hAnsi="Times New Roman"/>
                <w:b/>
                <w:color w:val="000000" w:themeColor="text1"/>
                <w:szCs w:val="36"/>
                <w14:textFill>
                  <w14:solidFill>
                    <w14:schemeClr w14:val="tx1"/>
                  </w14:solidFill>
                </w14:textFill>
              </w:rPr>
            </w:pPr>
            <w:r>
              <w:rPr>
                <w:rFonts w:ascii="Times New Roman" w:hAnsi="Times New Roman"/>
                <w:b/>
                <w:color w:val="000000" w:themeColor="text1"/>
                <w:szCs w:val="36"/>
                <w14:textFill>
                  <w14:solidFill>
                    <w14:schemeClr w14:val="tx1"/>
                  </w14:solidFill>
                </w14:textFill>
              </w:rPr>
              <w:t>2017届</w:t>
            </w:r>
          </w:p>
        </w:tc>
        <w:tc>
          <w:tcPr>
            <w:tcW w:w="1499" w:type="dxa"/>
            <w:tcBorders>
              <w:top w:val="single" w:color="008000" w:sz="12" w:space="0"/>
              <w:bottom w:val="single" w:color="008000" w:sz="6" w:space="0"/>
            </w:tcBorders>
            <w:vAlign w:val="center"/>
          </w:tcPr>
          <w:p>
            <w:pPr>
              <w:jc w:val="center"/>
              <w:rPr>
                <w:rFonts w:ascii="Times New Roman" w:hAnsi="Times New Roman"/>
                <w:b/>
                <w:color w:val="000000" w:themeColor="text1"/>
                <w:szCs w:val="36"/>
                <w14:textFill>
                  <w14:solidFill>
                    <w14:schemeClr w14:val="tx1"/>
                  </w14:solidFill>
                </w14:textFill>
              </w:rPr>
            </w:pPr>
            <w:r>
              <w:rPr>
                <w:rFonts w:ascii="Times New Roman" w:hAnsi="Times New Roman"/>
                <w:b/>
                <w:color w:val="000000" w:themeColor="text1"/>
                <w:szCs w:val="36"/>
                <w14:textFill>
                  <w14:solidFill>
                    <w14:schemeClr w14:val="tx1"/>
                  </w14:solidFill>
                </w14:textFill>
              </w:rPr>
              <w:t>2018届</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80" w:hRule="exact"/>
          <w:jc w:val="center"/>
        </w:trPr>
        <w:tc>
          <w:tcPr>
            <w:tcW w:w="1663" w:type="dxa"/>
            <w:tcBorders>
              <w:bottom w:val="single" w:color="008000" w:sz="12" w:space="0"/>
            </w:tcBorders>
            <w:vAlign w:val="center"/>
          </w:tcPr>
          <w:p>
            <w:pPr>
              <w:jc w:val="center"/>
              <w:rPr>
                <w:rFonts w:ascii="Times New Roman" w:hAnsi="Times New Roman"/>
                <w:b/>
                <w:color w:val="000000" w:themeColor="text1"/>
                <w:szCs w:val="36"/>
                <w14:textFill>
                  <w14:solidFill>
                    <w14:schemeClr w14:val="tx1"/>
                  </w14:solidFill>
                </w14:textFill>
              </w:rPr>
            </w:pPr>
            <w:r>
              <w:rPr>
                <w:rFonts w:ascii="Times New Roman" w:hAnsi="Times New Roman"/>
                <w:b/>
                <w:color w:val="000000" w:themeColor="text1"/>
                <w:szCs w:val="36"/>
                <w14:textFill>
                  <w14:solidFill>
                    <w14:schemeClr w14:val="tx1"/>
                  </w14:solidFill>
                </w14:textFill>
              </w:rPr>
              <w:t>人数</w:t>
            </w:r>
          </w:p>
        </w:tc>
        <w:tc>
          <w:tcPr>
            <w:tcW w:w="1498" w:type="dxa"/>
            <w:tcBorders>
              <w:bottom w:val="single" w:color="008000" w:sz="12" w:space="0"/>
            </w:tcBorders>
            <w:vAlign w:val="center"/>
          </w:tcPr>
          <w:p>
            <w:pPr>
              <w:jc w:val="center"/>
              <w:rPr>
                <w:rFonts w:ascii="Times New Roman" w:hAnsi="Times New Roman"/>
                <w:b/>
                <w:color w:val="000000" w:themeColor="text1"/>
                <w:szCs w:val="36"/>
                <w14:textFill>
                  <w14:solidFill>
                    <w14:schemeClr w14:val="tx1"/>
                  </w14:solidFill>
                </w14:textFill>
              </w:rPr>
            </w:pPr>
            <w:r>
              <w:rPr>
                <w:rFonts w:ascii="Times New Roman" w:hAnsi="Times New Roman"/>
                <w:b/>
                <w:color w:val="000000" w:themeColor="text1"/>
                <w:szCs w:val="36"/>
                <w14:textFill>
                  <w14:solidFill>
                    <w14:schemeClr w14:val="tx1"/>
                  </w14:solidFill>
                </w14:textFill>
              </w:rPr>
              <w:t>2282</w:t>
            </w:r>
          </w:p>
        </w:tc>
        <w:tc>
          <w:tcPr>
            <w:tcW w:w="1498" w:type="dxa"/>
            <w:tcBorders>
              <w:bottom w:val="single" w:color="008000" w:sz="12" w:space="0"/>
            </w:tcBorders>
            <w:vAlign w:val="center"/>
          </w:tcPr>
          <w:p>
            <w:pPr>
              <w:jc w:val="center"/>
              <w:rPr>
                <w:rFonts w:ascii="Times New Roman" w:hAnsi="Times New Roman"/>
                <w:b/>
                <w:color w:val="000000" w:themeColor="text1"/>
                <w:szCs w:val="36"/>
                <w14:textFill>
                  <w14:solidFill>
                    <w14:schemeClr w14:val="tx1"/>
                  </w14:solidFill>
                </w14:textFill>
              </w:rPr>
            </w:pPr>
            <w:r>
              <w:rPr>
                <w:rFonts w:ascii="Times New Roman" w:hAnsi="Times New Roman"/>
                <w:b/>
                <w:color w:val="000000" w:themeColor="text1"/>
                <w:szCs w:val="36"/>
                <w14:textFill>
                  <w14:solidFill>
                    <w14:schemeClr w14:val="tx1"/>
                  </w14:solidFill>
                </w14:textFill>
              </w:rPr>
              <w:t>2962</w:t>
            </w:r>
          </w:p>
        </w:tc>
        <w:tc>
          <w:tcPr>
            <w:tcW w:w="1499" w:type="dxa"/>
            <w:tcBorders>
              <w:bottom w:val="single" w:color="008000" w:sz="12" w:space="0"/>
            </w:tcBorders>
            <w:vAlign w:val="center"/>
          </w:tcPr>
          <w:p>
            <w:pPr>
              <w:jc w:val="center"/>
              <w:rPr>
                <w:rFonts w:ascii="Times New Roman" w:hAnsi="Times New Roman"/>
                <w:b/>
                <w:color w:val="000000" w:themeColor="text1"/>
                <w:szCs w:val="36"/>
                <w14:textFill>
                  <w14:solidFill>
                    <w14:schemeClr w14:val="tx1"/>
                  </w14:solidFill>
                </w14:textFill>
              </w:rPr>
            </w:pPr>
            <w:r>
              <w:rPr>
                <w:rFonts w:ascii="Times New Roman" w:hAnsi="Times New Roman"/>
                <w:b/>
                <w:color w:val="000000" w:themeColor="text1"/>
                <w:szCs w:val="36"/>
                <w14:textFill>
                  <w14:solidFill>
                    <w14:schemeClr w14:val="tx1"/>
                  </w14:solidFill>
                </w14:textFill>
              </w:rPr>
              <w:t>2669</w:t>
            </w:r>
          </w:p>
        </w:tc>
        <w:tc>
          <w:tcPr>
            <w:tcW w:w="1498" w:type="dxa"/>
            <w:tcBorders>
              <w:bottom w:val="single" w:color="008000" w:sz="12" w:space="0"/>
            </w:tcBorders>
            <w:vAlign w:val="center"/>
          </w:tcPr>
          <w:p>
            <w:pPr>
              <w:jc w:val="center"/>
              <w:rPr>
                <w:rFonts w:ascii="Times New Roman" w:hAnsi="Times New Roman"/>
                <w:b/>
                <w:color w:val="000000" w:themeColor="text1"/>
                <w:szCs w:val="36"/>
                <w14:textFill>
                  <w14:solidFill>
                    <w14:schemeClr w14:val="tx1"/>
                  </w14:solidFill>
                </w14:textFill>
              </w:rPr>
            </w:pPr>
            <w:r>
              <w:rPr>
                <w:rFonts w:ascii="Times New Roman" w:hAnsi="Times New Roman"/>
                <w:b/>
                <w:color w:val="000000" w:themeColor="text1"/>
                <w:szCs w:val="36"/>
                <w14:textFill>
                  <w14:solidFill>
                    <w14:schemeClr w14:val="tx1"/>
                  </w14:solidFill>
                </w14:textFill>
              </w:rPr>
              <w:t>2824</w:t>
            </w:r>
          </w:p>
        </w:tc>
        <w:tc>
          <w:tcPr>
            <w:tcW w:w="1499" w:type="dxa"/>
            <w:tcBorders>
              <w:bottom w:val="single" w:color="008000" w:sz="12" w:space="0"/>
            </w:tcBorders>
            <w:vAlign w:val="center"/>
          </w:tcPr>
          <w:p>
            <w:pPr>
              <w:jc w:val="center"/>
              <w:rPr>
                <w:rFonts w:ascii="Times New Roman" w:hAnsi="Times New Roman"/>
                <w:b/>
                <w:color w:val="000000" w:themeColor="text1"/>
                <w:szCs w:val="36"/>
                <w14:textFill>
                  <w14:solidFill>
                    <w14:schemeClr w14:val="tx1"/>
                  </w14:solidFill>
                </w14:textFill>
              </w:rPr>
            </w:pPr>
            <w:r>
              <w:rPr>
                <w:rFonts w:ascii="Times New Roman" w:hAnsi="Times New Roman"/>
                <w:b/>
                <w:color w:val="000000" w:themeColor="text1"/>
                <w:szCs w:val="36"/>
                <w14:textFill>
                  <w14:solidFill>
                    <w14:schemeClr w14:val="tx1"/>
                  </w14:solidFill>
                </w14:textFill>
              </w:rPr>
              <w:t>2591</w:t>
            </w:r>
          </w:p>
        </w:tc>
      </w:tr>
    </w:tbl>
    <w:p>
      <w:pPr>
        <w:spacing w:before="156" w:beforeLines="50" w:after="156" w:afterLines="50" w:line="480" w:lineRule="exact"/>
        <w:jc w:val="center"/>
        <w:rPr>
          <w:rFonts w:ascii="宋体" w:hAnsi="宋体"/>
          <w:b/>
          <w:szCs w:val="21"/>
        </w:rPr>
      </w:pPr>
      <w:r>
        <w:drawing>
          <wp:anchor distT="0" distB="0" distL="114300" distR="114300" simplePos="0" relativeHeight="251719680" behindDoc="0" locked="0" layoutInCell="1" allowOverlap="1">
            <wp:simplePos x="0" y="0"/>
            <wp:positionH relativeFrom="margin">
              <wp:posOffset>321945</wp:posOffset>
            </wp:positionH>
            <wp:positionV relativeFrom="paragraph">
              <wp:posOffset>370205</wp:posOffset>
            </wp:positionV>
            <wp:extent cx="5419090" cy="2645410"/>
            <wp:effectExtent l="0" t="0" r="0" b="0"/>
            <wp:wrapTopAndBottom/>
            <wp:docPr id="20" name="对象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Pr>
          <w:rFonts w:hint="eastAsia" w:ascii="宋体" w:hAnsi="宋体"/>
          <w:b/>
          <w:szCs w:val="21"/>
        </w:rPr>
        <w:t>图</w:t>
      </w:r>
      <w:r>
        <w:rPr>
          <w:rFonts w:ascii="宋体" w:hAnsi="宋体"/>
          <w:b/>
          <w:szCs w:val="21"/>
        </w:rPr>
        <w:t>1-1  2014</w:t>
      </w:r>
      <w:r>
        <w:rPr>
          <w:rFonts w:hint="eastAsia" w:ascii="宋体" w:hAnsi="宋体"/>
          <w:b/>
          <w:szCs w:val="21"/>
        </w:rPr>
        <w:t>届～</w:t>
      </w:r>
      <w:r>
        <w:rPr>
          <w:rFonts w:ascii="宋体" w:hAnsi="宋体"/>
          <w:b/>
          <w:szCs w:val="21"/>
        </w:rPr>
        <w:t>2018</w:t>
      </w:r>
      <w:r>
        <w:rPr>
          <w:rFonts w:hint="eastAsia" w:ascii="宋体" w:hAnsi="宋体"/>
          <w:b/>
          <w:szCs w:val="21"/>
        </w:rPr>
        <w:t>届毕业生人数分布图</w:t>
      </w:r>
    </w:p>
    <w:p>
      <w:pPr>
        <w:pStyle w:val="4"/>
        <w:spacing w:before="0" w:after="0" w:line="500" w:lineRule="exact"/>
        <w:ind w:firstLine="562" w:firstLineChars="200"/>
        <w:rPr>
          <w:sz w:val="28"/>
          <w:szCs w:val="28"/>
        </w:rPr>
      </w:pPr>
      <w:bookmarkStart w:id="10" w:name="_Toc533861905"/>
      <w:r>
        <w:rPr>
          <w:rFonts w:hint="eastAsia"/>
          <w:sz w:val="28"/>
          <w:szCs w:val="28"/>
        </w:rPr>
        <w:t>（二</w:t>
      </w:r>
      <w:r>
        <w:rPr>
          <w:sz w:val="28"/>
          <w:szCs w:val="28"/>
        </w:rPr>
        <w:t>）</w:t>
      </w:r>
      <w:r>
        <w:rPr>
          <w:rFonts w:hint="eastAsia"/>
          <w:sz w:val="28"/>
          <w:szCs w:val="28"/>
        </w:rPr>
        <w:t>各专业毕业生的</w:t>
      </w:r>
      <w:r>
        <w:rPr>
          <w:sz w:val="28"/>
          <w:szCs w:val="28"/>
        </w:rPr>
        <w:t>分布</w:t>
      </w:r>
      <w:bookmarkEnd w:id="10"/>
    </w:p>
    <w:p>
      <w:pPr>
        <w:spacing w:line="480" w:lineRule="exact"/>
        <w:ind w:firstLine="480" w:firstLineChars="200"/>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2018</w:t>
      </w:r>
      <w:r>
        <w:rPr>
          <w:rFonts w:hint="eastAsia" w:ascii="宋体" w:hAnsi="宋体"/>
          <w:color w:val="000000" w:themeColor="text1"/>
          <w:sz w:val="24"/>
          <w:szCs w:val="24"/>
          <w14:textFill>
            <w14:solidFill>
              <w14:schemeClr w14:val="tx1"/>
            </w14:solidFill>
          </w14:textFill>
        </w:rPr>
        <w:t>届毕业生共计</w:t>
      </w:r>
      <w:r>
        <w:rPr>
          <w:rFonts w:ascii="宋体" w:hAnsi="宋体"/>
          <w:color w:val="000000" w:themeColor="text1"/>
          <w:sz w:val="24"/>
          <w:szCs w:val="24"/>
          <w14:textFill>
            <w14:solidFill>
              <w14:schemeClr w14:val="tx1"/>
            </w14:solidFill>
          </w14:textFill>
        </w:rPr>
        <w:t>34</w:t>
      </w:r>
      <w:r>
        <w:rPr>
          <w:rFonts w:hint="eastAsia" w:ascii="宋体" w:hAnsi="宋体"/>
          <w:color w:val="000000" w:themeColor="text1"/>
          <w:sz w:val="24"/>
          <w:szCs w:val="24"/>
          <w14:textFill>
            <w14:solidFill>
              <w14:schemeClr w14:val="tx1"/>
            </w14:solidFill>
          </w14:textFill>
        </w:rPr>
        <w:t>个高职（专科）专业，食品科学系</w:t>
      </w:r>
      <w:r>
        <w:rPr>
          <w:rFonts w:ascii="宋体" w:hAnsi="宋体"/>
          <w:color w:val="000000" w:themeColor="text1"/>
          <w:sz w:val="24"/>
          <w:szCs w:val="24"/>
          <w14:textFill>
            <w14:solidFill>
              <w14:schemeClr w14:val="tx1"/>
            </w14:solidFill>
          </w14:textFill>
        </w:rPr>
        <w:t>388</w:t>
      </w:r>
      <w:r>
        <w:rPr>
          <w:rFonts w:hint="eastAsia" w:ascii="宋体" w:hAnsi="宋体"/>
          <w:color w:val="000000" w:themeColor="text1"/>
          <w:sz w:val="24"/>
          <w:szCs w:val="24"/>
          <w14:textFill>
            <w14:solidFill>
              <w14:schemeClr w14:val="tx1"/>
            </w14:solidFill>
          </w14:textFill>
        </w:rPr>
        <w:t>人，电子信息工程系</w:t>
      </w:r>
      <w:r>
        <w:rPr>
          <w:rFonts w:ascii="宋体" w:hAnsi="宋体"/>
          <w:color w:val="000000" w:themeColor="text1"/>
          <w:sz w:val="24"/>
          <w:szCs w:val="24"/>
          <w14:textFill>
            <w14:solidFill>
              <w14:schemeClr w14:val="tx1"/>
            </w14:solidFill>
          </w14:textFill>
        </w:rPr>
        <w:t>446</w:t>
      </w:r>
      <w:r>
        <w:rPr>
          <w:rFonts w:hint="eastAsia" w:ascii="宋体" w:hAnsi="宋体"/>
          <w:color w:val="000000" w:themeColor="text1"/>
          <w:sz w:val="24"/>
          <w:szCs w:val="24"/>
          <w14:textFill>
            <w14:solidFill>
              <w14:schemeClr w14:val="tx1"/>
            </w14:solidFill>
          </w14:textFill>
        </w:rPr>
        <w:t>人，车辆工程系</w:t>
      </w:r>
      <w:r>
        <w:rPr>
          <w:rFonts w:ascii="宋体" w:hAnsi="宋体"/>
          <w:color w:val="000000" w:themeColor="text1"/>
          <w:sz w:val="24"/>
          <w:szCs w:val="24"/>
          <w14:textFill>
            <w14:solidFill>
              <w14:schemeClr w14:val="tx1"/>
            </w14:solidFill>
          </w14:textFill>
        </w:rPr>
        <w:t>391</w:t>
      </w:r>
      <w:r>
        <w:rPr>
          <w:rFonts w:hint="eastAsia" w:ascii="宋体" w:hAnsi="宋体"/>
          <w:color w:val="000000" w:themeColor="text1"/>
          <w:sz w:val="24"/>
          <w:szCs w:val="24"/>
          <w14:textFill>
            <w14:solidFill>
              <w14:schemeClr w14:val="tx1"/>
            </w14:solidFill>
          </w14:textFill>
        </w:rPr>
        <w:t>人，机械工程系</w:t>
      </w:r>
      <w:r>
        <w:rPr>
          <w:rFonts w:ascii="宋体" w:hAnsi="宋体"/>
          <w:color w:val="000000" w:themeColor="text1"/>
          <w:sz w:val="24"/>
          <w:szCs w:val="24"/>
          <w14:textFill>
            <w14:solidFill>
              <w14:schemeClr w14:val="tx1"/>
            </w14:solidFill>
          </w14:textFill>
        </w:rPr>
        <w:t>396</w:t>
      </w:r>
      <w:r>
        <w:rPr>
          <w:rFonts w:hint="eastAsia" w:ascii="宋体" w:hAnsi="宋体"/>
          <w:color w:val="000000" w:themeColor="text1"/>
          <w:sz w:val="24"/>
          <w:szCs w:val="24"/>
          <w14:textFill>
            <w14:solidFill>
              <w14:schemeClr w14:val="tx1"/>
            </w14:solidFill>
          </w14:textFill>
        </w:rPr>
        <w:t>人，畜牧系</w:t>
      </w:r>
      <w:r>
        <w:rPr>
          <w:rFonts w:ascii="宋体" w:hAnsi="宋体"/>
          <w:color w:val="000000" w:themeColor="text1"/>
          <w:sz w:val="24"/>
          <w:szCs w:val="24"/>
          <w14:textFill>
            <w14:solidFill>
              <w14:schemeClr w14:val="tx1"/>
            </w14:solidFill>
          </w14:textFill>
        </w:rPr>
        <w:t>491</w:t>
      </w:r>
      <w:r>
        <w:rPr>
          <w:rFonts w:hint="eastAsia" w:ascii="宋体" w:hAnsi="宋体"/>
          <w:color w:val="000000" w:themeColor="text1"/>
          <w:sz w:val="24"/>
          <w:szCs w:val="24"/>
          <w14:textFill>
            <w14:solidFill>
              <w14:schemeClr w14:val="tx1"/>
            </w14:solidFill>
          </w14:textFill>
        </w:rPr>
        <w:t>人，兽医系</w:t>
      </w:r>
      <w:r>
        <w:rPr>
          <w:rFonts w:ascii="宋体" w:hAnsi="宋体"/>
          <w:color w:val="000000" w:themeColor="text1"/>
          <w:sz w:val="24"/>
          <w:szCs w:val="24"/>
          <w14:textFill>
            <w14:solidFill>
              <w14:schemeClr w14:val="tx1"/>
            </w14:solidFill>
          </w14:textFill>
        </w:rPr>
        <w:t>479</w:t>
      </w:r>
      <w:r>
        <w:rPr>
          <w:rFonts w:hint="eastAsia" w:ascii="宋体" w:hAnsi="宋体"/>
          <w:color w:val="000000" w:themeColor="text1"/>
          <w:sz w:val="24"/>
          <w:szCs w:val="24"/>
          <w14:textFill>
            <w14:solidFill>
              <w14:schemeClr w14:val="tx1"/>
            </w14:solidFill>
          </w14:textFill>
        </w:rPr>
        <w:t>人。毕业生人数最多的三个专业依次为畜牧兽医</w:t>
      </w:r>
      <w:r>
        <w:rPr>
          <w:rFonts w:ascii="宋体" w:hAnsi="宋体"/>
          <w:color w:val="000000" w:themeColor="text1"/>
          <w:sz w:val="24"/>
          <w:szCs w:val="24"/>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畜牧兽医（畜牧</w:t>
      </w:r>
      <w:r>
        <w:rPr>
          <w:rFonts w:ascii="宋体" w:hAnsi="宋体"/>
          <w:color w:val="000000" w:themeColor="text1"/>
          <w:sz w:val="24"/>
          <w:szCs w:val="24"/>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、畜牧专业，其毕业生人数分别为</w:t>
      </w:r>
      <w:r>
        <w:rPr>
          <w:rFonts w:ascii="宋体" w:hAnsi="宋体"/>
          <w:color w:val="000000" w:themeColor="text1"/>
          <w:sz w:val="24"/>
          <w:szCs w:val="24"/>
          <w14:textFill>
            <w14:solidFill>
              <w14:schemeClr w14:val="tx1"/>
            </w14:solidFill>
          </w14:textFill>
        </w:rPr>
        <w:t>268</w:t>
      </w:r>
      <w:r>
        <w:rPr>
          <w:rFonts w:hint="eastAsia" w:ascii="宋体" w:hAnsi="宋体"/>
          <w:color w:val="000000" w:themeColor="text1"/>
          <w:sz w:val="24"/>
          <w:szCs w:val="24"/>
          <w14:textFill>
            <w14:solidFill>
              <w14:schemeClr w14:val="tx1"/>
            </w14:solidFill>
          </w14:textFill>
        </w:rPr>
        <w:t>人、</w:t>
      </w:r>
      <w:r>
        <w:rPr>
          <w:rFonts w:ascii="宋体" w:hAnsi="宋体"/>
          <w:color w:val="000000" w:themeColor="text1"/>
          <w:sz w:val="24"/>
          <w:szCs w:val="24"/>
          <w14:textFill>
            <w14:solidFill>
              <w14:schemeClr w14:val="tx1"/>
            </w14:solidFill>
          </w14:textFill>
        </w:rPr>
        <w:t>186</w:t>
      </w:r>
      <w:r>
        <w:rPr>
          <w:rFonts w:hint="eastAsia" w:ascii="宋体" w:hAnsi="宋体"/>
          <w:color w:val="000000" w:themeColor="text1"/>
          <w:sz w:val="24"/>
          <w:szCs w:val="24"/>
          <w14:textFill>
            <w14:solidFill>
              <w14:schemeClr w14:val="tx1"/>
            </w14:solidFill>
          </w14:textFill>
        </w:rPr>
        <w:t>人、</w:t>
      </w:r>
      <w:r>
        <w:rPr>
          <w:rFonts w:ascii="宋体" w:hAnsi="宋体"/>
          <w:color w:val="000000" w:themeColor="text1"/>
          <w:sz w:val="24"/>
          <w:szCs w:val="24"/>
          <w14:textFill>
            <w14:solidFill>
              <w14:schemeClr w14:val="tx1"/>
            </w14:solidFill>
          </w14:textFill>
        </w:rPr>
        <w:t>168</w:t>
      </w:r>
      <w:r>
        <w:rPr>
          <w:rFonts w:hint="eastAsia" w:ascii="宋体" w:hAnsi="宋体"/>
          <w:color w:val="000000" w:themeColor="text1"/>
          <w:sz w:val="24"/>
          <w:szCs w:val="24"/>
          <w14:textFill>
            <w14:solidFill>
              <w14:schemeClr w14:val="tx1"/>
            </w14:solidFill>
          </w14:textFill>
        </w:rPr>
        <w:t>人（表</w:t>
      </w:r>
      <w:r>
        <w:rPr>
          <w:rFonts w:ascii="宋体" w:hAnsi="宋体"/>
          <w:color w:val="000000" w:themeColor="text1"/>
          <w:sz w:val="24"/>
          <w:szCs w:val="24"/>
          <w14:textFill>
            <w14:solidFill>
              <w14:schemeClr w14:val="tx1"/>
            </w14:solidFill>
          </w14:textFill>
        </w:rPr>
        <w:t>1-2</w:t>
      </w:r>
      <w:r>
        <w:rPr>
          <w:rFonts w:hint="eastAsia" w:ascii="宋体" w:hAnsi="宋体"/>
          <w:color w:val="000000" w:themeColor="text1"/>
          <w:sz w:val="24"/>
          <w:szCs w:val="24"/>
          <w14:textFill>
            <w14:solidFill>
              <w14:schemeClr w14:val="tx1"/>
            </w14:solidFill>
          </w14:textFill>
        </w:rPr>
        <w:t>），各占应届毕业生总数的</w:t>
      </w:r>
      <w:r>
        <w:rPr>
          <w:rFonts w:ascii="宋体" w:hAnsi="宋体"/>
          <w:color w:val="000000" w:themeColor="text1"/>
          <w:sz w:val="24"/>
          <w:szCs w:val="24"/>
          <w14:textFill>
            <w14:solidFill>
              <w14:schemeClr w14:val="tx1"/>
            </w14:solidFill>
          </w14:textFill>
        </w:rPr>
        <w:t>10.34%</w:t>
      </w:r>
      <w:r>
        <w:rPr>
          <w:rFonts w:hint="eastAsia" w:ascii="宋体" w:hAnsi="宋体"/>
          <w:color w:val="000000" w:themeColor="text1"/>
          <w:sz w:val="24"/>
          <w:szCs w:val="24"/>
          <w14:textFill>
            <w14:solidFill>
              <w14:schemeClr w14:val="tx1"/>
            </w14:solidFill>
          </w14:textFill>
        </w:rPr>
        <w:t>、</w:t>
      </w:r>
      <w:r>
        <w:rPr>
          <w:rFonts w:ascii="宋体" w:hAnsi="宋体"/>
          <w:color w:val="000000" w:themeColor="text1"/>
          <w:sz w:val="24"/>
          <w:szCs w:val="24"/>
          <w14:textFill>
            <w14:solidFill>
              <w14:schemeClr w14:val="tx1"/>
            </w14:solidFill>
          </w14:textFill>
        </w:rPr>
        <w:t>7.18%</w:t>
      </w:r>
      <w:r>
        <w:rPr>
          <w:rFonts w:hint="eastAsia" w:ascii="宋体" w:hAnsi="宋体"/>
          <w:color w:val="000000" w:themeColor="text1"/>
          <w:sz w:val="24"/>
          <w:szCs w:val="24"/>
          <w14:textFill>
            <w14:solidFill>
              <w14:schemeClr w14:val="tx1"/>
            </w14:solidFill>
          </w14:textFill>
        </w:rPr>
        <w:t>、</w:t>
      </w:r>
      <w:r>
        <w:rPr>
          <w:rFonts w:ascii="宋体" w:hAnsi="宋体"/>
          <w:color w:val="000000" w:themeColor="text1"/>
          <w:sz w:val="24"/>
          <w:szCs w:val="24"/>
          <w14:textFill>
            <w14:solidFill>
              <w14:schemeClr w14:val="tx1"/>
            </w14:solidFill>
          </w14:textFill>
        </w:rPr>
        <w:t>6.48%,</w:t>
      </w:r>
      <w:r>
        <w:rPr>
          <w:rFonts w:hint="eastAsia" w:ascii="宋体" w:hAnsi="宋体"/>
          <w:color w:val="000000" w:themeColor="text1"/>
          <w:sz w:val="24"/>
          <w:szCs w:val="24"/>
          <w14:textFill>
            <w14:solidFill>
              <w14:schemeClr w14:val="tx1"/>
            </w14:solidFill>
          </w14:textFill>
        </w:rPr>
        <w:t>具体</w:t>
      </w:r>
      <w:r>
        <w:rPr>
          <w:rFonts w:ascii="宋体" w:hAnsi="宋体"/>
          <w:color w:val="000000" w:themeColor="text1"/>
          <w:sz w:val="24"/>
          <w:szCs w:val="24"/>
          <w14:textFill>
            <w14:solidFill>
              <w14:schemeClr w14:val="tx1"/>
            </w14:solidFill>
          </w14:textFill>
        </w:rPr>
        <w:t>数据如表</w:t>
      </w:r>
      <w:r>
        <w:rPr>
          <w:rFonts w:hint="eastAsia" w:ascii="宋体" w:hAnsi="宋体"/>
          <w:color w:val="000000" w:themeColor="text1"/>
          <w:sz w:val="24"/>
          <w:szCs w:val="24"/>
          <w14:textFill>
            <w14:solidFill>
              <w14:schemeClr w14:val="tx1"/>
            </w14:solidFill>
          </w14:textFill>
        </w:rPr>
        <w:t>1</w:t>
      </w:r>
      <w:r>
        <w:rPr>
          <w:rFonts w:ascii="宋体" w:hAnsi="宋体"/>
          <w:color w:val="000000" w:themeColor="text1"/>
          <w:sz w:val="24"/>
          <w:szCs w:val="24"/>
          <w14:textFill>
            <w14:solidFill>
              <w14:schemeClr w14:val="tx1"/>
            </w14:solidFill>
          </w14:textFill>
        </w:rPr>
        <w:t>-2</w:t>
      </w:r>
      <w:r>
        <w:rPr>
          <w:rFonts w:hint="eastAsia" w:ascii="宋体" w:hAnsi="宋体"/>
          <w:color w:val="000000" w:themeColor="text1"/>
          <w:sz w:val="24"/>
          <w:szCs w:val="24"/>
          <w14:textFill>
            <w14:solidFill>
              <w14:schemeClr w14:val="tx1"/>
            </w14:solidFill>
          </w14:textFill>
        </w:rPr>
        <w:t>。</w:t>
      </w:r>
    </w:p>
    <w:p>
      <w:pPr>
        <w:spacing w:line="500" w:lineRule="exact"/>
        <w:ind w:firstLine="422" w:firstLineChars="200"/>
        <w:rPr>
          <w:rFonts w:ascii="宋体" w:hAnsi="宋体"/>
          <w:b/>
          <w:szCs w:val="21"/>
        </w:rPr>
      </w:pPr>
    </w:p>
    <w:tbl>
      <w:tblPr>
        <w:tblStyle w:val="19"/>
        <w:tblW w:w="903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3"/>
        <w:gridCol w:w="579"/>
        <w:gridCol w:w="1918"/>
        <w:gridCol w:w="986"/>
        <w:gridCol w:w="964"/>
        <w:gridCol w:w="868"/>
        <w:gridCol w:w="878"/>
        <w:gridCol w:w="793"/>
        <w:gridCol w:w="857"/>
        <w:gridCol w:w="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54" w:hRule="exact"/>
        </w:trPr>
        <w:tc>
          <w:tcPr>
            <w:tcW w:w="9038" w:type="dxa"/>
            <w:gridSpan w:val="10"/>
            <w:tcBorders>
              <w:top w:val="nil"/>
              <w:left w:val="nil"/>
              <w:right w:val="nil"/>
            </w:tcBorders>
            <w:shd w:val="clear" w:color="auto" w:fill="auto"/>
            <w:vAlign w:val="center"/>
          </w:tcPr>
          <w:p>
            <w:pPr>
              <w:widowControl/>
              <w:spacing w:after="156" w:afterLines="50" w:line="440" w:lineRule="exact"/>
              <w:jc w:val="center"/>
              <w:rPr>
                <w:rFonts w:ascii="宋体" w:hAnsi="宋体" w:cs="宋体"/>
                <w:b/>
                <w:bCs/>
                <w:color w:val="0066CC"/>
                <w:kern w:val="0"/>
                <w:szCs w:val="21"/>
              </w:rPr>
            </w:pPr>
            <w:r>
              <w:rPr>
                <w:rFonts w:hint="eastAsia" w:ascii="宋体" w:hAnsi="宋体"/>
                <w:b/>
                <w:szCs w:val="21"/>
              </w:rPr>
              <w:t>表</w:t>
            </w:r>
            <w:r>
              <w:rPr>
                <w:rFonts w:ascii="宋体" w:hAnsi="宋体"/>
                <w:b/>
                <w:szCs w:val="21"/>
              </w:rPr>
              <w:t xml:space="preserve">1-2  </w:t>
            </w:r>
            <w:r>
              <w:rPr>
                <w:rFonts w:hint="eastAsia" w:ascii="宋体" w:hAnsi="宋体"/>
                <w:b/>
                <w:szCs w:val="21"/>
              </w:rPr>
              <w:t>各专业毕业生人数统计表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trPr>
        <w:tc>
          <w:tcPr>
            <w:tcW w:w="463" w:type="dxa"/>
            <w:vMerge w:val="restart"/>
            <w:shd w:val="clear" w:color="auto" w:fill="auto"/>
            <w:vAlign w:val="center"/>
          </w:tcPr>
          <w:p>
            <w:pPr>
              <w:widowControl/>
              <w:jc w:val="center"/>
              <w:rPr>
                <w:rFonts w:ascii="宋体" w:hAnsi="宋体" w:cs="宋体"/>
                <w:b/>
                <w:bCs/>
                <w:color w:val="0066CC"/>
                <w:kern w:val="0"/>
                <w:szCs w:val="21"/>
              </w:rPr>
            </w:pPr>
            <w:r>
              <w:rPr>
                <w:rFonts w:hint="eastAsia" w:ascii="宋体" w:hAnsi="宋体" w:cs="宋体"/>
                <w:b/>
                <w:bCs/>
                <w:color w:val="0066CC"/>
                <w:kern w:val="0"/>
                <w:szCs w:val="21"/>
              </w:rPr>
              <w:t>序号</w:t>
            </w:r>
          </w:p>
        </w:tc>
        <w:tc>
          <w:tcPr>
            <w:tcW w:w="579" w:type="dxa"/>
            <w:vMerge w:val="restart"/>
            <w:shd w:val="clear" w:color="auto" w:fill="auto"/>
            <w:vAlign w:val="center"/>
          </w:tcPr>
          <w:p>
            <w:pPr>
              <w:widowControl/>
              <w:jc w:val="center"/>
              <w:rPr>
                <w:rFonts w:ascii="宋体" w:hAnsi="宋体" w:cs="宋体"/>
                <w:b/>
                <w:bCs/>
                <w:color w:val="0066CC"/>
                <w:kern w:val="0"/>
                <w:szCs w:val="21"/>
              </w:rPr>
            </w:pPr>
            <w:r>
              <w:rPr>
                <w:rFonts w:hint="eastAsia" w:ascii="宋体" w:hAnsi="宋体" w:cs="宋体"/>
                <w:b/>
                <w:bCs/>
                <w:color w:val="0066CC"/>
                <w:kern w:val="0"/>
                <w:szCs w:val="21"/>
              </w:rPr>
              <w:t>系别</w:t>
            </w:r>
          </w:p>
        </w:tc>
        <w:tc>
          <w:tcPr>
            <w:tcW w:w="1918" w:type="dxa"/>
            <w:vMerge w:val="restart"/>
            <w:shd w:val="clear" w:color="auto" w:fill="auto"/>
            <w:vAlign w:val="center"/>
          </w:tcPr>
          <w:p>
            <w:pPr>
              <w:widowControl/>
              <w:jc w:val="center"/>
              <w:rPr>
                <w:rFonts w:ascii="宋体" w:hAnsi="宋体" w:cs="宋体"/>
                <w:b/>
                <w:bCs/>
                <w:color w:val="0066CC"/>
                <w:kern w:val="0"/>
                <w:szCs w:val="21"/>
              </w:rPr>
            </w:pPr>
            <w:r>
              <w:rPr>
                <w:rFonts w:hint="eastAsia" w:ascii="宋体" w:hAnsi="宋体" w:cs="宋体"/>
                <w:b/>
                <w:bCs/>
                <w:color w:val="0066CC"/>
                <w:kern w:val="0"/>
                <w:szCs w:val="21"/>
              </w:rPr>
              <w:t>专业名称</w:t>
            </w:r>
          </w:p>
        </w:tc>
        <w:tc>
          <w:tcPr>
            <w:tcW w:w="986" w:type="dxa"/>
            <w:vMerge w:val="restart"/>
            <w:shd w:val="clear" w:color="auto" w:fill="auto"/>
            <w:vAlign w:val="center"/>
          </w:tcPr>
          <w:p>
            <w:pPr>
              <w:widowControl/>
              <w:jc w:val="center"/>
              <w:rPr>
                <w:rFonts w:ascii="宋体" w:hAnsi="宋体" w:cs="宋体"/>
                <w:b/>
                <w:bCs/>
                <w:color w:val="0066CC"/>
                <w:kern w:val="0"/>
                <w:szCs w:val="21"/>
              </w:rPr>
            </w:pPr>
            <w:r>
              <w:rPr>
                <w:rFonts w:hint="eastAsia" w:ascii="宋体" w:hAnsi="宋体" w:cs="宋体"/>
                <w:b/>
                <w:bCs/>
                <w:color w:val="0066CC"/>
                <w:kern w:val="0"/>
                <w:szCs w:val="21"/>
              </w:rPr>
              <w:t>毕业生人数</w:t>
            </w:r>
          </w:p>
        </w:tc>
        <w:tc>
          <w:tcPr>
            <w:tcW w:w="1832" w:type="dxa"/>
            <w:gridSpan w:val="2"/>
            <w:shd w:val="clear" w:color="auto" w:fill="auto"/>
            <w:vAlign w:val="center"/>
          </w:tcPr>
          <w:p>
            <w:pPr>
              <w:widowControl/>
              <w:jc w:val="center"/>
              <w:rPr>
                <w:rFonts w:ascii="宋体" w:hAnsi="宋体" w:cs="宋体"/>
                <w:b/>
                <w:bCs/>
                <w:color w:val="0066CC"/>
                <w:kern w:val="0"/>
                <w:szCs w:val="21"/>
              </w:rPr>
            </w:pPr>
            <w:r>
              <w:rPr>
                <w:rFonts w:hint="eastAsia" w:ascii="宋体" w:hAnsi="宋体" w:cs="宋体"/>
                <w:b/>
                <w:bCs/>
                <w:color w:val="0066CC"/>
                <w:kern w:val="0"/>
                <w:szCs w:val="21"/>
              </w:rPr>
              <w:t>生源</w:t>
            </w:r>
            <w:r>
              <w:rPr>
                <w:rFonts w:ascii="宋体" w:hAnsi="宋体" w:cs="宋体"/>
                <w:b/>
                <w:bCs/>
                <w:color w:val="0066CC"/>
                <w:kern w:val="0"/>
                <w:szCs w:val="21"/>
              </w:rPr>
              <w:t>类型</w:t>
            </w:r>
          </w:p>
        </w:tc>
        <w:tc>
          <w:tcPr>
            <w:tcW w:w="1671" w:type="dxa"/>
            <w:gridSpan w:val="2"/>
            <w:shd w:val="clear" w:color="auto" w:fill="auto"/>
            <w:vAlign w:val="center"/>
          </w:tcPr>
          <w:p>
            <w:pPr>
              <w:widowControl/>
              <w:jc w:val="center"/>
              <w:rPr>
                <w:rFonts w:ascii="宋体" w:hAnsi="宋体" w:cs="宋体"/>
                <w:b/>
                <w:bCs/>
                <w:color w:val="0066CC"/>
                <w:kern w:val="0"/>
                <w:szCs w:val="21"/>
              </w:rPr>
            </w:pPr>
            <w:r>
              <w:rPr>
                <w:rFonts w:hint="eastAsia" w:ascii="宋体" w:hAnsi="宋体" w:cs="宋体"/>
                <w:b/>
                <w:bCs/>
                <w:color w:val="0066CC"/>
                <w:kern w:val="0"/>
                <w:szCs w:val="21"/>
              </w:rPr>
              <w:t>性别</w:t>
            </w:r>
          </w:p>
        </w:tc>
        <w:tc>
          <w:tcPr>
            <w:tcW w:w="1589" w:type="dxa"/>
            <w:gridSpan w:val="2"/>
            <w:shd w:val="clear" w:color="auto" w:fill="auto"/>
            <w:vAlign w:val="center"/>
          </w:tcPr>
          <w:p>
            <w:pPr>
              <w:widowControl/>
              <w:jc w:val="center"/>
              <w:rPr>
                <w:rFonts w:ascii="宋体" w:hAnsi="宋体" w:cs="宋体"/>
                <w:b/>
                <w:bCs/>
                <w:color w:val="0066CC"/>
                <w:kern w:val="0"/>
                <w:szCs w:val="21"/>
              </w:rPr>
            </w:pPr>
            <w:r>
              <w:rPr>
                <w:rFonts w:hint="eastAsia" w:ascii="宋体" w:hAnsi="宋体" w:cs="宋体"/>
                <w:b/>
                <w:bCs/>
                <w:color w:val="0066CC"/>
                <w:kern w:val="0"/>
                <w:szCs w:val="21"/>
              </w:rPr>
              <w:t>民族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trPr>
        <w:tc>
          <w:tcPr>
            <w:tcW w:w="463" w:type="dxa"/>
            <w:vMerge w:val="continue"/>
            <w:shd w:val="clear" w:color="auto" w:fill="auto"/>
            <w:vAlign w:val="center"/>
          </w:tcPr>
          <w:p>
            <w:pPr>
              <w:widowControl/>
              <w:jc w:val="center"/>
              <w:rPr>
                <w:rFonts w:ascii="宋体" w:hAnsi="宋体" w:cs="宋体"/>
                <w:b/>
                <w:bCs/>
                <w:color w:val="0066CC"/>
                <w:kern w:val="0"/>
                <w:szCs w:val="21"/>
              </w:rPr>
            </w:pPr>
          </w:p>
        </w:tc>
        <w:tc>
          <w:tcPr>
            <w:tcW w:w="579" w:type="dxa"/>
            <w:vMerge w:val="continue"/>
            <w:shd w:val="clear" w:color="auto" w:fill="auto"/>
            <w:vAlign w:val="center"/>
          </w:tcPr>
          <w:p>
            <w:pPr>
              <w:widowControl/>
              <w:jc w:val="center"/>
              <w:rPr>
                <w:rFonts w:ascii="宋体" w:hAnsi="宋体" w:cs="宋体"/>
                <w:b/>
                <w:bCs/>
                <w:color w:val="0066CC"/>
                <w:kern w:val="0"/>
                <w:szCs w:val="21"/>
              </w:rPr>
            </w:pPr>
          </w:p>
        </w:tc>
        <w:tc>
          <w:tcPr>
            <w:tcW w:w="1918" w:type="dxa"/>
            <w:vMerge w:val="continue"/>
            <w:shd w:val="clear" w:color="auto" w:fill="auto"/>
            <w:vAlign w:val="center"/>
          </w:tcPr>
          <w:p>
            <w:pPr>
              <w:widowControl/>
              <w:jc w:val="center"/>
              <w:rPr>
                <w:rFonts w:ascii="宋体" w:hAnsi="宋体" w:cs="宋体"/>
                <w:b/>
                <w:bCs/>
                <w:color w:val="0066CC"/>
                <w:kern w:val="0"/>
                <w:szCs w:val="21"/>
              </w:rPr>
            </w:pPr>
          </w:p>
        </w:tc>
        <w:tc>
          <w:tcPr>
            <w:tcW w:w="986" w:type="dxa"/>
            <w:vMerge w:val="continue"/>
            <w:shd w:val="clear" w:color="auto" w:fill="auto"/>
            <w:vAlign w:val="center"/>
          </w:tcPr>
          <w:p>
            <w:pPr>
              <w:widowControl/>
              <w:jc w:val="center"/>
              <w:rPr>
                <w:rFonts w:ascii="宋体" w:hAnsi="宋体" w:cs="宋体"/>
                <w:b/>
                <w:bCs/>
                <w:color w:val="0066CC"/>
                <w:kern w:val="0"/>
                <w:szCs w:val="21"/>
              </w:rPr>
            </w:pPr>
          </w:p>
        </w:tc>
        <w:tc>
          <w:tcPr>
            <w:tcW w:w="964" w:type="dxa"/>
            <w:shd w:val="clear" w:color="auto" w:fill="auto"/>
            <w:vAlign w:val="center"/>
          </w:tcPr>
          <w:p>
            <w:pPr>
              <w:widowControl/>
              <w:jc w:val="center"/>
              <w:rPr>
                <w:rFonts w:ascii="宋体" w:hAnsi="宋体" w:cs="宋体"/>
                <w:b/>
                <w:bCs/>
                <w:color w:val="0066CC"/>
                <w:kern w:val="0"/>
                <w:szCs w:val="21"/>
              </w:rPr>
            </w:pPr>
            <w:r>
              <w:rPr>
                <w:rFonts w:hint="eastAsia" w:ascii="宋体" w:hAnsi="宋体" w:cs="宋体"/>
                <w:b/>
                <w:bCs/>
                <w:color w:val="0066CC"/>
                <w:kern w:val="0"/>
                <w:szCs w:val="21"/>
              </w:rPr>
              <w:t>普高</w:t>
            </w:r>
          </w:p>
        </w:tc>
        <w:tc>
          <w:tcPr>
            <w:tcW w:w="868" w:type="dxa"/>
            <w:shd w:val="clear" w:color="auto" w:fill="auto"/>
            <w:vAlign w:val="center"/>
          </w:tcPr>
          <w:p>
            <w:pPr>
              <w:widowControl/>
              <w:jc w:val="center"/>
              <w:rPr>
                <w:rFonts w:ascii="宋体" w:hAnsi="宋体" w:cs="宋体"/>
                <w:b/>
                <w:bCs/>
                <w:color w:val="0066CC"/>
                <w:kern w:val="0"/>
                <w:szCs w:val="21"/>
              </w:rPr>
            </w:pPr>
            <w:r>
              <w:rPr>
                <w:rFonts w:hint="eastAsia" w:ascii="宋体" w:hAnsi="宋体" w:cs="宋体"/>
                <w:b/>
                <w:bCs/>
                <w:color w:val="0066CC"/>
                <w:kern w:val="0"/>
                <w:szCs w:val="21"/>
              </w:rPr>
              <w:t>三校生</w:t>
            </w:r>
          </w:p>
        </w:tc>
        <w:tc>
          <w:tcPr>
            <w:tcW w:w="878" w:type="dxa"/>
            <w:shd w:val="clear" w:color="auto" w:fill="auto"/>
            <w:vAlign w:val="center"/>
          </w:tcPr>
          <w:p>
            <w:pPr>
              <w:widowControl/>
              <w:jc w:val="center"/>
              <w:rPr>
                <w:rFonts w:ascii="宋体" w:hAnsi="宋体" w:cs="宋体"/>
                <w:b/>
                <w:bCs/>
                <w:color w:val="0066CC"/>
                <w:kern w:val="0"/>
                <w:szCs w:val="21"/>
              </w:rPr>
            </w:pPr>
            <w:r>
              <w:rPr>
                <w:rFonts w:hint="eastAsia" w:ascii="宋体" w:hAnsi="宋体" w:cs="宋体"/>
                <w:b/>
                <w:bCs/>
                <w:color w:val="0066CC"/>
                <w:kern w:val="0"/>
                <w:szCs w:val="21"/>
              </w:rPr>
              <w:t>男</w:t>
            </w:r>
          </w:p>
        </w:tc>
        <w:tc>
          <w:tcPr>
            <w:tcW w:w="793" w:type="dxa"/>
            <w:shd w:val="clear" w:color="auto" w:fill="auto"/>
            <w:vAlign w:val="center"/>
          </w:tcPr>
          <w:p>
            <w:pPr>
              <w:widowControl/>
              <w:jc w:val="center"/>
              <w:rPr>
                <w:rFonts w:ascii="宋体" w:hAnsi="宋体" w:cs="宋体"/>
                <w:b/>
                <w:bCs/>
                <w:color w:val="0066CC"/>
                <w:kern w:val="0"/>
                <w:szCs w:val="21"/>
              </w:rPr>
            </w:pPr>
            <w:r>
              <w:rPr>
                <w:rFonts w:hint="eastAsia" w:ascii="宋体" w:hAnsi="宋体" w:cs="宋体"/>
                <w:b/>
                <w:bCs/>
                <w:color w:val="0066CC"/>
                <w:kern w:val="0"/>
                <w:szCs w:val="21"/>
              </w:rPr>
              <w:t>女</w:t>
            </w:r>
          </w:p>
        </w:tc>
        <w:tc>
          <w:tcPr>
            <w:tcW w:w="857" w:type="dxa"/>
            <w:shd w:val="clear" w:color="auto" w:fill="auto"/>
            <w:vAlign w:val="center"/>
          </w:tcPr>
          <w:p>
            <w:pPr>
              <w:widowControl/>
              <w:jc w:val="center"/>
              <w:rPr>
                <w:rFonts w:ascii="宋体" w:hAnsi="宋体" w:cs="宋体"/>
                <w:b/>
                <w:bCs/>
                <w:color w:val="0066CC"/>
                <w:kern w:val="0"/>
                <w:szCs w:val="21"/>
              </w:rPr>
            </w:pPr>
            <w:r>
              <w:rPr>
                <w:rFonts w:hint="eastAsia" w:ascii="宋体" w:hAnsi="宋体" w:cs="宋体"/>
                <w:b/>
                <w:bCs/>
                <w:color w:val="0066CC"/>
                <w:kern w:val="0"/>
                <w:szCs w:val="21"/>
              </w:rPr>
              <w:t>汉族</w:t>
            </w:r>
          </w:p>
        </w:tc>
        <w:tc>
          <w:tcPr>
            <w:tcW w:w="732" w:type="dxa"/>
            <w:shd w:val="clear" w:color="auto" w:fill="auto"/>
            <w:vAlign w:val="center"/>
          </w:tcPr>
          <w:p>
            <w:pPr>
              <w:widowControl/>
              <w:jc w:val="center"/>
              <w:rPr>
                <w:rFonts w:ascii="宋体" w:hAnsi="宋体" w:cs="宋体"/>
                <w:b/>
                <w:bCs/>
                <w:color w:val="0066CC"/>
                <w:kern w:val="0"/>
                <w:szCs w:val="21"/>
              </w:rPr>
            </w:pPr>
            <w:r>
              <w:rPr>
                <w:rFonts w:hint="eastAsia" w:ascii="宋体" w:hAnsi="宋体" w:cs="宋体"/>
                <w:b/>
                <w:bCs/>
                <w:color w:val="0066CC"/>
                <w:kern w:val="0"/>
                <w:szCs w:val="21"/>
              </w:rPr>
              <w:t>少数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463"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1</w:t>
            </w:r>
          </w:p>
        </w:tc>
        <w:tc>
          <w:tcPr>
            <w:tcW w:w="579" w:type="dxa"/>
            <w:vMerge w:val="restart"/>
            <w:shd w:val="clear" w:color="auto" w:fill="auto"/>
            <w:vAlign w:val="center"/>
          </w:tcPr>
          <w:p>
            <w:pPr>
              <w:jc w:val="center"/>
              <w:rPr>
                <w:rFonts w:ascii="宋体" w:hAnsi="宋体" w:cs="宋体"/>
                <w:b/>
                <w:color w:val="000000"/>
                <w:kern w:val="0"/>
                <w:sz w:val="18"/>
                <w:szCs w:val="18"/>
              </w:rPr>
            </w:pPr>
            <w:r>
              <w:rPr>
                <w:rFonts w:hint="eastAsia" w:ascii="宋体" w:hAnsi="宋体" w:cs="宋体"/>
                <w:b/>
                <w:color w:val="000000"/>
                <w:kern w:val="0"/>
                <w:sz w:val="18"/>
                <w:szCs w:val="18"/>
              </w:rPr>
              <w:t>车</w:t>
            </w:r>
          </w:p>
          <w:p>
            <w:pPr>
              <w:jc w:val="center"/>
              <w:rPr>
                <w:rFonts w:ascii="宋体" w:hAnsi="宋体" w:cs="宋体"/>
                <w:b/>
                <w:color w:val="000000"/>
                <w:kern w:val="0"/>
                <w:sz w:val="18"/>
                <w:szCs w:val="18"/>
              </w:rPr>
            </w:pPr>
            <w:r>
              <w:rPr>
                <w:rFonts w:hint="eastAsia" w:ascii="宋体" w:hAnsi="宋体" w:cs="宋体"/>
                <w:b/>
                <w:color w:val="000000"/>
                <w:kern w:val="0"/>
                <w:sz w:val="18"/>
                <w:szCs w:val="18"/>
              </w:rPr>
              <w:t>辆</w:t>
            </w:r>
          </w:p>
          <w:p>
            <w:pPr>
              <w:jc w:val="center"/>
              <w:rPr>
                <w:rFonts w:ascii="宋体" w:hAnsi="宋体" w:cs="宋体"/>
                <w:b/>
                <w:color w:val="000000"/>
                <w:kern w:val="0"/>
                <w:sz w:val="18"/>
                <w:szCs w:val="18"/>
              </w:rPr>
            </w:pPr>
            <w:r>
              <w:rPr>
                <w:rFonts w:hint="eastAsia" w:ascii="宋体" w:hAnsi="宋体" w:cs="宋体"/>
                <w:b/>
                <w:color w:val="000000"/>
                <w:kern w:val="0"/>
                <w:sz w:val="18"/>
                <w:szCs w:val="18"/>
              </w:rPr>
              <w:t>工</w:t>
            </w:r>
          </w:p>
          <w:p>
            <w:pPr>
              <w:jc w:val="center"/>
              <w:rPr>
                <w:rFonts w:ascii="宋体" w:hAnsi="宋体" w:cs="宋体"/>
                <w:b/>
                <w:color w:val="000000"/>
                <w:kern w:val="0"/>
                <w:sz w:val="18"/>
                <w:szCs w:val="18"/>
              </w:rPr>
            </w:pPr>
            <w:r>
              <w:rPr>
                <w:rFonts w:hint="eastAsia" w:ascii="宋体" w:hAnsi="宋体" w:cs="宋体"/>
                <w:b/>
                <w:color w:val="000000"/>
                <w:kern w:val="0"/>
                <w:sz w:val="18"/>
                <w:szCs w:val="18"/>
              </w:rPr>
              <w:t>程</w:t>
            </w:r>
          </w:p>
          <w:p>
            <w:pPr>
              <w:jc w:val="center"/>
              <w:rPr>
                <w:rFonts w:ascii="宋体" w:hAnsi="宋体" w:cs="宋体"/>
                <w:b/>
                <w:color w:val="000000"/>
                <w:kern w:val="0"/>
                <w:sz w:val="18"/>
                <w:szCs w:val="18"/>
              </w:rPr>
            </w:pPr>
            <w:r>
              <w:rPr>
                <w:rFonts w:hint="eastAsia" w:ascii="宋体" w:hAnsi="宋体" w:cs="宋体"/>
                <w:b/>
                <w:color w:val="000000"/>
                <w:kern w:val="0"/>
                <w:sz w:val="18"/>
                <w:szCs w:val="18"/>
              </w:rPr>
              <w:t>系</w:t>
            </w:r>
          </w:p>
        </w:tc>
        <w:tc>
          <w:tcPr>
            <w:tcW w:w="1918" w:type="dxa"/>
            <w:shd w:val="clear" w:color="auto" w:fill="auto"/>
            <w:vAlign w:val="center"/>
          </w:tcPr>
          <w:p>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工程机械运用与维护</w:t>
            </w:r>
          </w:p>
        </w:tc>
        <w:tc>
          <w:tcPr>
            <w:tcW w:w="986"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31</w:t>
            </w:r>
          </w:p>
        </w:tc>
        <w:tc>
          <w:tcPr>
            <w:tcW w:w="964"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14</w:t>
            </w:r>
          </w:p>
        </w:tc>
        <w:tc>
          <w:tcPr>
            <w:tcW w:w="868"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17</w:t>
            </w:r>
          </w:p>
        </w:tc>
        <w:tc>
          <w:tcPr>
            <w:tcW w:w="878"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28</w:t>
            </w:r>
          </w:p>
        </w:tc>
        <w:tc>
          <w:tcPr>
            <w:tcW w:w="793"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3</w:t>
            </w:r>
          </w:p>
        </w:tc>
        <w:tc>
          <w:tcPr>
            <w:tcW w:w="857"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29</w:t>
            </w:r>
          </w:p>
        </w:tc>
        <w:tc>
          <w:tcPr>
            <w:tcW w:w="732"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463"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2</w:t>
            </w:r>
          </w:p>
        </w:tc>
        <w:tc>
          <w:tcPr>
            <w:tcW w:w="579" w:type="dxa"/>
            <w:vMerge w:val="continue"/>
            <w:shd w:val="clear" w:color="auto" w:fill="auto"/>
            <w:vAlign w:val="center"/>
          </w:tcPr>
          <w:p>
            <w:pPr>
              <w:jc w:val="center"/>
              <w:rPr>
                <w:rFonts w:ascii="宋体" w:hAnsi="宋体" w:cs="宋体"/>
                <w:b/>
                <w:color w:val="000000"/>
                <w:kern w:val="0"/>
                <w:sz w:val="18"/>
                <w:szCs w:val="18"/>
              </w:rPr>
            </w:pPr>
          </w:p>
        </w:tc>
        <w:tc>
          <w:tcPr>
            <w:tcW w:w="1918" w:type="dxa"/>
            <w:shd w:val="clear" w:color="auto" w:fill="auto"/>
            <w:vAlign w:val="center"/>
          </w:tcPr>
          <w:p>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农业机械应用技术</w:t>
            </w:r>
          </w:p>
        </w:tc>
        <w:tc>
          <w:tcPr>
            <w:tcW w:w="986"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68</w:t>
            </w:r>
          </w:p>
        </w:tc>
        <w:tc>
          <w:tcPr>
            <w:tcW w:w="964"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54</w:t>
            </w:r>
          </w:p>
        </w:tc>
        <w:tc>
          <w:tcPr>
            <w:tcW w:w="868"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14</w:t>
            </w:r>
          </w:p>
        </w:tc>
        <w:tc>
          <w:tcPr>
            <w:tcW w:w="878"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42</w:t>
            </w:r>
          </w:p>
        </w:tc>
        <w:tc>
          <w:tcPr>
            <w:tcW w:w="793"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26</w:t>
            </w:r>
          </w:p>
        </w:tc>
        <w:tc>
          <w:tcPr>
            <w:tcW w:w="857"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50</w:t>
            </w:r>
          </w:p>
        </w:tc>
        <w:tc>
          <w:tcPr>
            <w:tcW w:w="732"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463"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3</w:t>
            </w:r>
          </w:p>
        </w:tc>
        <w:tc>
          <w:tcPr>
            <w:tcW w:w="579" w:type="dxa"/>
            <w:vMerge w:val="continue"/>
            <w:shd w:val="clear" w:color="auto" w:fill="auto"/>
            <w:vAlign w:val="center"/>
          </w:tcPr>
          <w:p>
            <w:pPr>
              <w:jc w:val="center"/>
              <w:rPr>
                <w:rFonts w:ascii="宋体" w:hAnsi="宋体" w:cs="宋体"/>
                <w:b/>
                <w:color w:val="000000"/>
                <w:kern w:val="0"/>
                <w:sz w:val="18"/>
                <w:szCs w:val="18"/>
              </w:rPr>
            </w:pPr>
          </w:p>
        </w:tc>
        <w:tc>
          <w:tcPr>
            <w:tcW w:w="1918" w:type="dxa"/>
            <w:shd w:val="clear" w:color="auto" w:fill="auto"/>
            <w:vAlign w:val="center"/>
          </w:tcPr>
          <w:p>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汽车电子技术</w:t>
            </w:r>
          </w:p>
        </w:tc>
        <w:tc>
          <w:tcPr>
            <w:tcW w:w="986"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31</w:t>
            </w:r>
          </w:p>
        </w:tc>
        <w:tc>
          <w:tcPr>
            <w:tcW w:w="964"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17</w:t>
            </w:r>
          </w:p>
        </w:tc>
        <w:tc>
          <w:tcPr>
            <w:tcW w:w="868"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14</w:t>
            </w:r>
          </w:p>
        </w:tc>
        <w:tc>
          <w:tcPr>
            <w:tcW w:w="878"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27</w:t>
            </w:r>
          </w:p>
        </w:tc>
        <w:tc>
          <w:tcPr>
            <w:tcW w:w="793"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4</w:t>
            </w:r>
          </w:p>
        </w:tc>
        <w:tc>
          <w:tcPr>
            <w:tcW w:w="857"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28</w:t>
            </w:r>
          </w:p>
        </w:tc>
        <w:tc>
          <w:tcPr>
            <w:tcW w:w="732"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463"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4</w:t>
            </w:r>
          </w:p>
        </w:tc>
        <w:tc>
          <w:tcPr>
            <w:tcW w:w="579" w:type="dxa"/>
            <w:vMerge w:val="continue"/>
            <w:shd w:val="clear" w:color="auto" w:fill="auto"/>
            <w:vAlign w:val="center"/>
          </w:tcPr>
          <w:p>
            <w:pPr>
              <w:jc w:val="center"/>
              <w:rPr>
                <w:rFonts w:ascii="宋体" w:hAnsi="宋体" w:cs="宋体"/>
                <w:b/>
                <w:color w:val="000000"/>
                <w:kern w:val="0"/>
                <w:sz w:val="18"/>
                <w:szCs w:val="18"/>
              </w:rPr>
            </w:pPr>
          </w:p>
        </w:tc>
        <w:tc>
          <w:tcPr>
            <w:tcW w:w="1918" w:type="dxa"/>
            <w:shd w:val="clear" w:color="auto" w:fill="auto"/>
            <w:vAlign w:val="center"/>
          </w:tcPr>
          <w:p>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汽车技术服务与营销</w:t>
            </w:r>
          </w:p>
        </w:tc>
        <w:tc>
          <w:tcPr>
            <w:tcW w:w="986"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62</w:t>
            </w:r>
          </w:p>
        </w:tc>
        <w:tc>
          <w:tcPr>
            <w:tcW w:w="964"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43</w:t>
            </w:r>
          </w:p>
        </w:tc>
        <w:tc>
          <w:tcPr>
            <w:tcW w:w="868"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19</w:t>
            </w:r>
          </w:p>
        </w:tc>
        <w:tc>
          <w:tcPr>
            <w:tcW w:w="878"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39</w:t>
            </w:r>
          </w:p>
        </w:tc>
        <w:tc>
          <w:tcPr>
            <w:tcW w:w="793"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23</w:t>
            </w:r>
          </w:p>
        </w:tc>
        <w:tc>
          <w:tcPr>
            <w:tcW w:w="857"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55</w:t>
            </w:r>
          </w:p>
        </w:tc>
        <w:tc>
          <w:tcPr>
            <w:tcW w:w="732"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463"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5</w:t>
            </w:r>
          </w:p>
        </w:tc>
        <w:tc>
          <w:tcPr>
            <w:tcW w:w="579" w:type="dxa"/>
            <w:vMerge w:val="continue"/>
            <w:shd w:val="clear" w:color="auto" w:fill="auto"/>
            <w:vAlign w:val="center"/>
          </w:tcPr>
          <w:p>
            <w:pPr>
              <w:jc w:val="center"/>
              <w:rPr>
                <w:rFonts w:ascii="宋体" w:hAnsi="宋体" w:cs="宋体"/>
                <w:b/>
                <w:color w:val="000000"/>
                <w:kern w:val="0"/>
                <w:sz w:val="18"/>
                <w:szCs w:val="18"/>
              </w:rPr>
            </w:pPr>
          </w:p>
        </w:tc>
        <w:tc>
          <w:tcPr>
            <w:tcW w:w="1918" w:type="dxa"/>
            <w:shd w:val="clear" w:color="auto" w:fill="auto"/>
            <w:vAlign w:val="center"/>
          </w:tcPr>
          <w:p>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汽车检测与维修技术</w:t>
            </w:r>
          </w:p>
        </w:tc>
        <w:tc>
          <w:tcPr>
            <w:tcW w:w="986"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118</w:t>
            </w:r>
          </w:p>
        </w:tc>
        <w:tc>
          <w:tcPr>
            <w:tcW w:w="964"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86</w:t>
            </w:r>
          </w:p>
        </w:tc>
        <w:tc>
          <w:tcPr>
            <w:tcW w:w="868"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32</w:t>
            </w:r>
          </w:p>
        </w:tc>
        <w:tc>
          <w:tcPr>
            <w:tcW w:w="878"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115</w:t>
            </w:r>
          </w:p>
        </w:tc>
        <w:tc>
          <w:tcPr>
            <w:tcW w:w="793"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3</w:t>
            </w:r>
          </w:p>
        </w:tc>
        <w:tc>
          <w:tcPr>
            <w:tcW w:w="857"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109</w:t>
            </w:r>
          </w:p>
        </w:tc>
        <w:tc>
          <w:tcPr>
            <w:tcW w:w="732"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463"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6</w:t>
            </w:r>
          </w:p>
        </w:tc>
        <w:tc>
          <w:tcPr>
            <w:tcW w:w="579" w:type="dxa"/>
            <w:vMerge w:val="continue"/>
            <w:shd w:val="clear" w:color="auto" w:fill="auto"/>
            <w:vAlign w:val="center"/>
          </w:tcPr>
          <w:p>
            <w:pPr>
              <w:widowControl/>
              <w:jc w:val="center"/>
              <w:rPr>
                <w:rFonts w:ascii="宋体" w:hAnsi="宋体" w:cs="宋体"/>
                <w:b/>
                <w:color w:val="000000"/>
                <w:kern w:val="0"/>
                <w:sz w:val="18"/>
                <w:szCs w:val="18"/>
              </w:rPr>
            </w:pPr>
          </w:p>
        </w:tc>
        <w:tc>
          <w:tcPr>
            <w:tcW w:w="1918" w:type="dxa"/>
            <w:shd w:val="clear" w:color="auto" w:fill="auto"/>
            <w:vAlign w:val="center"/>
          </w:tcPr>
          <w:p>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汽车制造与装配技术</w:t>
            </w:r>
          </w:p>
        </w:tc>
        <w:tc>
          <w:tcPr>
            <w:tcW w:w="986"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81</w:t>
            </w:r>
          </w:p>
        </w:tc>
        <w:tc>
          <w:tcPr>
            <w:tcW w:w="964"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71</w:t>
            </w:r>
          </w:p>
        </w:tc>
        <w:tc>
          <w:tcPr>
            <w:tcW w:w="868"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10</w:t>
            </w:r>
          </w:p>
        </w:tc>
        <w:tc>
          <w:tcPr>
            <w:tcW w:w="878"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78</w:t>
            </w:r>
          </w:p>
        </w:tc>
        <w:tc>
          <w:tcPr>
            <w:tcW w:w="793"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3</w:t>
            </w:r>
          </w:p>
        </w:tc>
        <w:tc>
          <w:tcPr>
            <w:tcW w:w="857"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75</w:t>
            </w:r>
          </w:p>
        </w:tc>
        <w:tc>
          <w:tcPr>
            <w:tcW w:w="732"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463"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7</w:t>
            </w:r>
          </w:p>
        </w:tc>
        <w:tc>
          <w:tcPr>
            <w:tcW w:w="579" w:type="dxa"/>
            <w:vMerge w:val="restart"/>
            <w:shd w:val="clear" w:color="auto" w:fill="auto"/>
            <w:vAlign w:val="center"/>
          </w:tcPr>
          <w:p>
            <w:pPr>
              <w:jc w:val="center"/>
              <w:rPr>
                <w:rFonts w:ascii="宋体" w:hAnsi="宋体" w:cs="宋体"/>
                <w:b/>
                <w:color w:val="000000"/>
                <w:kern w:val="0"/>
                <w:sz w:val="18"/>
                <w:szCs w:val="18"/>
              </w:rPr>
            </w:pPr>
            <w:r>
              <w:rPr>
                <w:rFonts w:hint="eastAsia" w:ascii="宋体" w:hAnsi="宋体" w:cs="宋体"/>
                <w:b/>
                <w:color w:val="000000"/>
                <w:kern w:val="0"/>
                <w:sz w:val="18"/>
                <w:szCs w:val="18"/>
              </w:rPr>
              <w:t>畜</w:t>
            </w:r>
          </w:p>
          <w:p>
            <w:pPr>
              <w:jc w:val="center"/>
              <w:rPr>
                <w:rFonts w:ascii="宋体" w:hAnsi="宋体" w:cs="宋体"/>
                <w:b/>
                <w:color w:val="000000"/>
                <w:kern w:val="0"/>
                <w:sz w:val="18"/>
                <w:szCs w:val="18"/>
              </w:rPr>
            </w:pPr>
            <w:r>
              <w:rPr>
                <w:rFonts w:hint="eastAsia" w:ascii="宋体" w:hAnsi="宋体" w:cs="宋体"/>
                <w:b/>
                <w:color w:val="000000"/>
                <w:kern w:val="0"/>
                <w:sz w:val="18"/>
                <w:szCs w:val="18"/>
              </w:rPr>
              <w:t>牧</w:t>
            </w:r>
          </w:p>
          <w:p>
            <w:pPr>
              <w:jc w:val="center"/>
              <w:rPr>
                <w:rFonts w:ascii="宋体" w:hAnsi="宋体" w:cs="宋体"/>
                <w:b/>
                <w:color w:val="000000"/>
                <w:kern w:val="0"/>
                <w:sz w:val="18"/>
                <w:szCs w:val="18"/>
              </w:rPr>
            </w:pPr>
            <w:r>
              <w:rPr>
                <w:rFonts w:hint="eastAsia" w:ascii="宋体" w:hAnsi="宋体" w:cs="宋体"/>
                <w:b/>
                <w:color w:val="000000"/>
                <w:kern w:val="0"/>
                <w:sz w:val="18"/>
                <w:szCs w:val="18"/>
              </w:rPr>
              <w:t>系</w:t>
            </w:r>
          </w:p>
        </w:tc>
        <w:tc>
          <w:tcPr>
            <w:tcW w:w="1918" w:type="dxa"/>
            <w:shd w:val="clear" w:color="auto" w:fill="auto"/>
            <w:vAlign w:val="center"/>
          </w:tcPr>
          <w:p>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畜  牧</w:t>
            </w:r>
          </w:p>
        </w:tc>
        <w:tc>
          <w:tcPr>
            <w:tcW w:w="986"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168</w:t>
            </w:r>
          </w:p>
        </w:tc>
        <w:tc>
          <w:tcPr>
            <w:tcW w:w="964"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104</w:t>
            </w:r>
          </w:p>
        </w:tc>
        <w:tc>
          <w:tcPr>
            <w:tcW w:w="868"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64</w:t>
            </w:r>
          </w:p>
        </w:tc>
        <w:tc>
          <w:tcPr>
            <w:tcW w:w="878"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104</w:t>
            </w:r>
          </w:p>
        </w:tc>
        <w:tc>
          <w:tcPr>
            <w:tcW w:w="793"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64</w:t>
            </w:r>
          </w:p>
        </w:tc>
        <w:tc>
          <w:tcPr>
            <w:tcW w:w="857"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159</w:t>
            </w:r>
          </w:p>
        </w:tc>
        <w:tc>
          <w:tcPr>
            <w:tcW w:w="732"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463"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8</w:t>
            </w:r>
          </w:p>
        </w:tc>
        <w:tc>
          <w:tcPr>
            <w:tcW w:w="579" w:type="dxa"/>
            <w:vMerge w:val="continue"/>
            <w:shd w:val="clear" w:color="auto" w:fill="auto"/>
            <w:vAlign w:val="center"/>
          </w:tcPr>
          <w:p>
            <w:pPr>
              <w:jc w:val="center"/>
              <w:rPr>
                <w:rFonts w:ascii="宋体" w:hAnsi="宋体" w:cs="宋体"/>
                <w:b/>
                <w:color w:val="000000"/>
                <w:kern w:val="0"/>
                <w:sz w:val="18"/>
                <w:szCs w:val="18"/>
              </w:rPr>
            </w:pPr>
          </w:p>
        </w:tc>
        <w:tc>
          <w:tcPr>
            <w:tcW w:w="1918" w:type="dxa"/>
            <w:shd w:val="clear" w:color="auto" w:fill="auto"/>
            <w:vAlign w:val="center"/>
          </w:tcPr>
          <w:p>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畜牧兽医(畜牧)</w:t>
            </w:r>
          </w:p>
        </w:tc>
        <w:tc>
          <w:tcPr>
            <w:tcW w:w="986"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186</w:t>
            </w:r>
          </w:p>
        </w:tc>
        <w:tc>
          <w:tcPr>
            <w:tcW w:w="964"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0</w:t>
            </w:r>
          </w:p>
        </w:tc>
        <w:tc>
          <w:tcPr>
            <w:tcW w:w="868"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186</w:t>
            </w:r>
          </w:p>
        </w:tc>
        <w:tc>
          <w:tcPr>
            <w:tcW w:w="878"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155</w:t>
            </w:r>
          </w:p>
        </w:tc>
        <w:tc>
          <w:tcPr>
            <w:tcW w:w="793"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31</w:t>
            </w:r>
          </w:p>
        </w:tc>
        <w:tc>
          <w:tcPr>
            <w:tcW w:w="857"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181</w:t>
            </w:r>
          </w:p>
        </w:tc>
        <w:tc>
          <w:tcPr>
            <w:tcW w:w="732"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463" w:type="dxa"/>
            <w:tcBorders>
              <w:bottom w:val="single" w:color="auto" w:sz="4" w:space="0"/>
            </w:tcBorders>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9</w:t>
            </w:r>
          </w:p>
        </w:tc>
        <w:tc>
          <w:tcPr>
            <w:tcW w:w="579" w:type="dxa"/>
            <w:vMerge w:val="continue"/>
            <w:tcBorders>
              <w:bottom w:val="single" w:color="auto" w:sz="4" w:space="0"/>
            </w:tcBorders>
            <w:shd w:val="clear" w:color="auto" w:fill="auto"/>
            <w:vAlign w:val="center"/>
          </w:tcPr>
          <w:p>
            <w:pPr>
              <w:widowControl/>
              <w:jc w:val="center"/>
              <w:rPr>
                <w:rFonts w:ascii="宋体" w:hAnsi="宋体" w:cs="宋体"/>
                <w:b/>
                <w:color w:val="000000"/>
                <w:kern w:val="0"/>
                <w:sz w:val="18"/>
                <w:szCs w:val="18"/>
              </w:rPr>
            </w:pPr>
          </w:p>
        </w:tc>
        <w:tc>
          <w:tcPr>
            <w:tcW w:w="1918" w:type="dxa"/>
            <w:tcBorders>
              <w:bottom w:val="single" w:color="auto" w:sz="4" w:space="0"/>
            </w:tcBorders>
            <w:shd w:val="clear" w:color="auto" w:fill="auto"/>
            <w:vAlign w:val="center"/>
          </w:tcPr>
          <w:p>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畜牧兽医</w:t>
            </w:r>
          </w:p>
        </w:tc>
        <w:tc>
          <w:tcPr>
            <w:tcW w:w="986" w:type="dxa"/>
            <w:tcBorders>
              <w:bottom w:val="single" w:color="auto" w:sz="4" w:space="0"/>
            </w:tcBorders>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137</w:t>
            </w:r>
          </w:p>
        </w:tc>
        <w:tc>
          <w:tcPr>
            <w:tcW w:w="964" w:type="dxa"/>
            <w:tcBorders>
              <w:bottom w:val="single" w:color="auto" w:sz="4" w:space="0"/>
            </w:tcBorders>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108</w:t>
            </w:r>
          </w:p>
        </w:tc>
        <w:tc>
          <w:tcPr>
            <w:tcW w:w="868" w:type="dxa"/>
            <w:tcBorders>
              <w:bottom w:val="single" w:color="auto" w:sz="4" w:space="0"/>
            </w:tcBorders>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29</w:t>
            </w:r>
          </w:p>
        </w:tc>
        <w:tc>
          <w:tcPr>
            <w:tcW w:w="878" w:type="dxa"/>
            <w:tcBorders>
              <w:bottom w:val="single" w:color="auto" w:sz="4" w:space="0"/>
            </w:tcBorders>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81</w:t>
            </w:r>
          </w:p>
        </w:tc>
        <w:tc>
          <w:tcPr>
            <w:tcW w:w="793" w:type="dxa"/>
            <w:tcBorders>
              <w:bottom w:val="single" w:color="auto" w:sz="4" w:space="0"/>
            </w:tcBorders>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56</w:t>
            </w:r>
          </w:p>
        </w:tc>
        <w:tc>
          <w:tcPr>
            <w:tcW w:w="857" w:type="dxa"/>
            <w:tcBorders>
              <w:bottom w:val="single" w:color="auto" w:sz="4" w:space="0"/>
            </w:tcBorders>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121</w:t>
            </w:r>
          </w:p>
        </w:tc>
        <w:tc>
          <w:tcPr>
            <w:tcW w:w="732" w:type="dxa"/>
            <w:tcBorders>
              <w:bottom w:val="single" w:color="auto" w:sz="4" w:space="0"/>
            </w:tcBorders>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463" w:type="dxa"/>
            <w:shd w:val="clear" w:color="000000" w:fill="FFFFFF" w:themeFill="background1"/>
            <w:vAlign w:val="center"/>
          </w:tcPr>
          <w:p>
            <w:pPr>
              <w:widowControl/>
              <w:jc w:val="center"/>
              <w:rPr>
                <w:rFonts w:ascii="Times New Roman" w:hAnsi="Times New Roman"/>
                <w:b/>
                <w:bCs/>
                <w:color w:val="000000"/>
                <w:kern w:val="0"/>
                <w:szCs w:val="21"/>
              </w:rPr>
            </w:pPr>
            <w:r>
              <w:rPr>
                <w:rFonts w:ascii="Times New Roman" w:hAnsi="Times New Roman"/>
                <w:b/>
                <w:bCs/>
                <w:color w:val="000000"/>
                <w:kern w:val="0"/>
                <w:szCs w:val="21"/>
              </w:rPr>
              <w:t>10</w:t>
            </w:r>
          </w:p>
        </w:tc>
        <w:tc>
          <w:tcPr>
            <w:tcW w:w="579" w:type="dxa"/>
            <w:vMerge w:val="restart"/>
            <w:shd w:val="clear" w:color="000000" w:fill="FFFFFF" w:themeFill="background1"/>
            <w:vAlign w:val="center"/>
          </w:tcPr>
          <w:p>
            <w:pPr>
              <w:jc w:val="center"/>
              <w:rPr>
                <w:rFonts w:ascii="宋体" w:hAnsi="宋体" w:cs="宋体"/>
                <w:b/>
                <w:color w:val="000000"/>
                <w:kern w:val="0"/>
                <w:sz w:val="18"/>
                <w:szCs w:val="18"/>
              </w:rPr>
            </w:pPr>
            <w:r>
              <w:rPr>
                <w:rFonts w:hint="eastAsia" w:ascii="宋体" w:hAnsi="宋体" w:cs="宋体"/>
                <w:b/>
                <w:color w:val="000000"/>
                <w:kern w:val="0"/>
                <w:sz w:val="18"/>
                <w:szCs w:val="18"/>
              </w:rPr>
              <w:t>兽</w:t>
            </w:r>
          </w:p>
          <w:p>
            <w:pPr>
              <w:jc w:val="center"/>
              <w:rPr>
                <w:rFonts w:ascii="宋体" w:hAnsi="宋体" w:cs="宋体"/>
                <w:b/>
                <w:color w:val="000000"/>
                <w:kern w:val="0"/>
                <w:sz w:val="18"/>
                <w:szCs w:val="18"/>
              </w:rPr>
            </w:pPr>
            <w:r>
              <w:rPr>
                <w:rFonts w:hint="eastAsia" w:ascii="宋体" w:hAnsi="宋体" w:cs="宋体"/>
                <w:b/>
                <w:color w:val="000000"/>
                <w:kern w:val="0"/>
                <w:sz w:val="18"/>
                <w:szCs w:val="18"/>
              </w:rPr>
              <w:t>医</w:t>
            </w:r>
          </w:p>
          <w:p>
            <w:pPr>
              <w:jc w:val="center"/>
              <w:rPr>
                <w:rFonts w:ascii="宋体" w:hAnsi="宋体" w:cs="宋体"/>
                <w:b/>
                <w:color w:val="000000"/>
                <w:kern w:val="0"/>
                <w:sz w:val="18"/>
                <w:szCs w:val="18"/>
              </w:rPr>
            </w:pPr>
            <w:r>
              <w:rPr>
                <w:rFonts w:hint="eastAsia" w:ascii="宋体" w:hAnsi="宋体" w:cs="宋体"/>
                <w:b/>
                <w:color w:val="000000"/>
                <w:kern w:val="0"/>
                <w:sz w:val="18"/>
                <w:szCs w:val="18"/>
              </w:rPr>
              <w:t>系</w:t>
            </w:r>
          </w:p>
          <w:p>
            <w:pPr>
              <w:jc w:val="center"/>
              <w:rPr>
                <w:rFonts w:ascii="宋体" w:hAnsi="宋体" w:cs="宋体"/>
                <w:b/>
                <w:bCs/>
                <w:color w:val="000000"/>
                <w:kern w:val="0"/>
                <w:sz w:val="18"/>
                <w:szCs w:val="18"/>
              </w:rPr>
            </w:pPr>
          </w:p>
        </w:tc>
        <w:tc>
          <w:tcPr>
            <w:tcW w:w="1918" w:type="dxa"/>
            <w:shd w:val="clear" w:color="000000" w:fill="FFFFFF" w:themeFill="background1"/>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动物防疫与检疫</w:t>
            </w:r>
          </w:p>
        </w:tc>
        <w:tc>
          <w:tcPr>
            <w:tcW w:w="986" w:type="dxa"/>
            <w:shd w:val="clear" w:color="000000" w:fill="FFFFFF" w:themeFill="background1"/>
            <w:vAlign w:val="center"/>
          </w:tcPr>
          <w:p>
            <w:pPr>
              <w:widowControl/>
              <w:jc w:val="center"/>
              <w:rPr>
                <w:rFonts w:ascii="Times New Roman" w:hAnsi="Times New Roman"/>
                <w:b/>
                <w:bCs/>
                <w:color w:val="000000"/>
                <w:kern w:val="0"/>
                <w:szCs w:val="21"/>
              </w:rPr>
            </w:pPr>
            <w:r>
              <w:rPr>
                <w:rFonts w:ascii="Times New Roman" w:hAnsi="Times New Roman"/>
                <w:b/>
                <w:bCs/>
                <w:color w:val="000000"/>
                <w:kern w:val="0"/>
                <w:szCs w:val="21"/>
              </w:rPr>
              <w:t>45</w:t>
            </w:r>
          </w:p>
        </w:tc>
        <w:tc>
          <w:tcPr>
            <w:tcW w:w="964" w:type="dxa"/>
            <w:shd w:val="clear" w:color="000000" w:fill="FFFFFF" w:themeFill="background1"/>
            <w:vAlign w:val="center"/>
          </w:tcPr>
          <w:p>
            <w:pPr>
              <w:widowControl/>
              <w:jc w:val="center"/>
              <w:rPr>
                <w:rFonts w:ascii="Times New Roman" w:hAnsi="Times New Roman"/>
                <w:b/>
                <w:bCs/>
                <w:color w:val="000000"/>
                <w:kern w:val="0"/>
                <w:szCs w:val="21"/>
              </w:rPr>
            </w:pPr>
            <w:r>
              <w:rPr>
                <w:rFonts w:ascii="Times New Roman" w:hAnsi="Times New Roman"/>
                <w:b/>
                <w:bCs/>
                <w:color w:val="000000"/>
                <w:kern w:val="0"/>
                <w:szCs w:val="21"/>
              </w:rPr>
              <w:t>44</w:t>
            </w:r>
          </w:p>
        </w:tc>
        <w:tc>
          <w:tcPr>
            <w:tcW w:w="868" w:type="dxa"/>
            <w:shd w:val="clear" w:color="000000" w:fill="FFFFFF" w:themeFill="background1"/>
            <w:vAlign w:val="center"/>
          </w:tcPr>
          <w:p>
            <w:pPr>
              <w:widowControl/>
              <w:jc w:val="center"/>
              <w:rPr>
                <w:rFonts w:ascii="Times New Roman" w:hAnsi="Times New Roman"/>
                <w:b/>
                <w:bCs/>
                <w:color w:val="000000"/>
                <w:kern w:val="0"/>
                <w:szCs w:val="21"/>
              </w:rPr>
            </w:pPr>
            <w:r>
              <w:rPr>
                <w:rFonts w:ascii="Times New Roman" w:hAnsi="Times New Roman"/>
                <w:b/>
                <w:bCs/>
                <w:color w:val="000000"/>
                <w:kern w:val="0"/>
                <w:szCs w:val="21"/>
              </w:rPr>
              <w:t>1</w:t>
            </w:r>
          </w:p>
        </w:tc>
        <w:tc>
          <w:tcPr>
            <w:tcW w:w="878" w:type="dxa"/>
            <w:shd w:val="clear" w:color="000000" w:fill="FFFFFF" w:themeFill="background1"/>
            <w:vAlign w:val="center"/>
          </w:tcPr>
          <w:p>
            <w:pPr>
              <w:widowControl/>
              <w:jc w:val="center"/>
              <w:rPr>
                <w:rFonts w:ascii="Times New Roman" w:hAnsi="Times New Roman"/>
                <w:b/>
                <w:bCs/>
                <w:color w:val="000000"/>
                <w:kern w:val="0"/>
                <w:szCs w:val="21"/>
              </w:rPr>
            </w:pPr>
            <w:r>
              <w:rPr>
                <w:rFonts w:ascii="Times New Roman" w:hAnsi="Times New Roman"/>
                <w:b/>
                <w:bCs/>
                <w:color w:val="000000"/>
                <w:kern w:val="0"/>
                <w:szCs w:val="21"/>
              </w:rPr>
              <w:t>16</w:t>
            </w:r>
          </w:p>
        </w:tc>
        <w:tc>
          <w:tcPr>
            <w:tcW w:w="793" w:type="dxa"/>
            <w:tcBorders>
              <w:bottom w:val="single" w:color="auto" w:sz="4" w:space="0"/>
            </w:tcBorders>
            <w:shd w:val="clear" w:color="000000" w:fill="55FA1A"/>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b/>
                <w:bCs/>
                <w:color w:val="000000" w:themeColor="text1"/>
                <w:kern w:val="0"/>
                <w:szCs w:val="21"/>
                <w14:textFill>
                  <w14:solidFill>
                    <w14:schemeClr w14:val="tx1"/>
                  </w14:solidFill>
                </w14:textFill>
              </w:rPr>
              <w:t>29</w:t>
            </w:r>
          </w:p>
        </w:tc>
        <w:tc>
          <w:tcPr>
            <w:tcW w:w="857" w:type="dxa"/>
            <w:shd w:val="clear" w:color="000000" w:fill="FFFFFF" w:themeFill="background1"/>
            <w:vAlign w:val="center"/>
          </w:tcPr>
          <w:p>
            <w:pPr>
              <w:widowControl/>
              <w:jc w:val="center"/>
              <w:rPr>
                <w:rFonts w:ascii="Times New Roman" w:hAnsi="Times New Roman"/>
                <w:b/>
                <w:bCs/>
                <w:color w:val="000000"/>
                <w:kern w:val="0"/>
                <w:szCs w:val="21"/>
              </w:rPr>
            </w:pPr>
            <w:r>
              <w:rPr>
                <w:rFonts w:ascii="Times New Roman" w:hAnsi="Times New Roman"/>
                <w:b/>
                <w:bCs/>
                <w:color w:val="000000"/>
                <w:kern w:val="0"/>
                <w:szCs w:val="21"/>
              </w:rPr>
              <w:t>39</w:t>
            </w:r>
          </w:p>
        </w:tc>
        <w:tc>
          <w:tcPr>
            <w:tcW w:w="732" w:type="dxa"/>
            <w:shd w:val="clear" w:color="000000" w:fill="FFFFFF" w:themeFill="background1"/>
            <w:vAlign w:val="center"/>
          </w:tcPr>
          <w:p>
            <w:pPr>
              <w:widowControl/>
              <w:jc w:val="center"/>
              <w:rPr>
                <w:rFonts w:ascii="Times New Roman" w:hAnsi="Times New Roman"/>
                <w:b/>
                <w:bCs/>
                <w:color w:val="000000"/>
                <w:kern w:val="0"/>
                <w:szCs w:val="21"/>
              </w:rPr>
            </w:pPr>
            <w:r>
              <w:rPr>
                <w:rFonts w:ascii="Times New Roman" w:hAnsi="Times New Roman"/>
                <w:b/>
                <w:bCs/>
                <w:color w:val="000000"/>
                <w:kern w:val="0"/>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463" w:type="dxa"/>
            <w:shd w:val="clear" w:color="000000" w:fill="FFFFFF" w:themeFill="background1"/>
            <w:vAlign w:val="center"/>
          </w:tcPr>
          <w:p>
            <w:pPr>
              <w:widowControl/>
              <w:jc w:val="center"/>
              <w:rPr>
                <w:rFonts w:ascii="Times New Roman" w:hAnsi="Times New Roman"/>
                <w:b/>
                <w:bCs/>
                <w:color w:val="000000"/>
                <w:kern w:val="0"/>
                <w:szCs w:val="21"/>
              </w:rPr>
            </w:pPr>
            <w:r>
              <w:rPr>
                <w:rFonts w:ascii="Times New Roman" w:hAnsi="Times New Roman"/>
                <w:b/>
                <w:bCs/>
                <w:color w:val="000000"/>
                <w:kern w:val="0"/>
                <w:szCs w:val="21"/>
              </w:rPr>
              <w:t>11</w:t>
            </w:r>
          </w:p>
        </w:tc>
        <w:tc>
          <w:tcPr>
            <w:tcW w:w="579" w:type="dxa"/>
            <w:vMerge w:val="continue"/>
            <w:shd w:val="clear" w:color="000000" w:fill="FFFFFF" w:themeFill="background1"/>
            <w:vAlign w:val="center"/>
          </w:tcPr>
          <w:p>
            <w:pPr>
              <w:jc w:val="center"/>
              <w:rPr>
                <w:rFonts w:ascii="宋体" w:hAnsi="宋体" w:cs="宋体"/>
                <w:b/>
                <w:bCs/>
                <w:color w:val="000000"/>
                <w:kern w:val="0"/>
                <w:sz w:val="18"/>
                <w:szCs w:val="18"/>
              </w:rPr>
            </w:pPr>
          </w:p>
        </w:tc>
        <w:tc>
          <w:tcPr>
            <w:tcW w:w="1918" w:type="dxa"/>
            <w:shd w:val="clear" w:color="000000" w:fill="FFFFFF" w:themeFill="background1"/>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生物技术及应用</w:t>
            </w:r>
          </w:p>
        </w:tc>
        <w:tc>
          <w:tcPr>
            <w:tcW w:w="986" w:type="dxa"/>
            <w:shd w:val="clear" w:color="000000" w:fill="FFFFFF" w:themeFill="background1"/>
            <w:vAlign w:val="center"/>
          </w:tcPr>
          <w:p>
            <w:pPr>
              <w:widowControl/>
              <w:jc w:val="center"/>
              <w:rPr>
                <w:rFonts w:ascii="Times New Roman" w:hAnsi="Times New Roman"/>
                <w:b/>
                <w:bCs/>
                <w:color w:val="000000"/>
                <w:kern w:val="0"/>
                <w:szCs w:val="21"/>
              </w:rPr>
            </w:pPr>
            <w:r>
              <w:rPr>
                <w:rFonts w:ascii="Times New Roman" w:hAnsi="Times New Roman"/>
                <w:b/>
                <w:bCs/>
                <w:color w:val="000000"/>
                <w:kern w:val="0"/>
                <w:szCs w:val="21"/>
              </w:rPr>
              <w:t>37</w:t>
            </w:r>
          </w:p>
        </w:tc>
        <w:tc>
          <w:tcPr>
            <w:tcW w:w="964" w:type="dxa"/>
            <w:shd w:val="clear" w:color="000000" w:fill="FFFFFF" w:themeFill="background1"/>
            <w:vAlign w:val="center"/>
          </w:tcPr>
          <w:p>
            <w:pPr>
              <w:widowControl/>
              <w:jc w:val="center"/>
              <w:rPr>
                <w:rFonts w:ascii="Times New Roman" w:hAnsi="Times New Roman"/>
                <w:b/>
                <w:bCs/>
                <w:color w:val="000000"/>
                <w:kern w:val="0"/>
                <w:szCs w:val="21"/>
              </w:rPr>
            </w:pPr>
            <w:r>
              <w:rPr>
                <w:rFonts w:ascii="Times New Roman" w:hAnsi="Times New Roman"/>
                <w:b/>
                <w:bCs/>
                <w:color w:val="000000"/>
                <w:kern w:val="0"/>
                <w:szCs w:val="21"/>
              </w:rPr>
              <w:t>21</w:t>
            </w:r>
          </w:p>
        </w:tc>
        <w:tc>
          <w:tcPr>
            <w:tcW w:w="868" w:type="dxa"/>
            <w:shd w:val="clear" w:color="000000" w:fill="FFFFFF" w:themeFill="background1"/>
            <w:vAlign w:val="center"/>
          </w:tcPr>
          <w:p>
            <w:pPr>
              <w:widowControl/>
              <w:jc w:val="center"/>
              <w:rPr>
                <w:rFonts w:ascii="Times New Roman" w:hAnsi="Times New Roman"/>
                <w:b/>
                <w:bCs/>
                <w:color w:val="000000"/>
                <w:kern w:val="0"/>
                <w:szCs w:val="21"/>
              </w:rPr>
            </w:pPr>
            <w:r>
              <w:rPr>
                <w:rFonts w:ascii="Times New Roman" w:hAnsi="Times New Roman"/>
                <w:b/>
                <w:bCs/>
                <w:color w:val="000000"/>
                <w:kern w:val="0"/>
                <w:szCs w:val="21"/>
              </w:rPr>
              <w:t>16</w:t>
            </w:r>
          </w:p>
        </w:tc>
        <w:tc>
          <w:tcPr>
            <w:tcW w:w="878" w:type="dxa"/>
            <w:shd w:val="clear" w:color="000000" w:fill="FFFFFF" w:themeFill="background1"/>
            <w:vAlign w:val="center"/>
          </w:tcPr>
          <w:p>
            <w:pPr>
              <w:widowControl/>
              <w:jc w:val="center"/>
              <w:rPr>
                <w:rFonts w:ascii="Times New Roman" w:hAnsi="Times New Roman"/>
                <w:b/>
                <w:bCs/>
                <w:color w:val="000000"/>
                <w:kern w:val="0"/>
                <w:szCs w:val="21"/>
              </w:rPr>
            </w:pPr>
            <w:r>
              <w:rPr>
                <w:rFonts w:ascii="Times New Roman" w:hAnsi="Times New Roman"/>
                <w:b/>
                <w:bCs/>
                <w:color w:val="000000"/>
                <w:kern w:val="0"/>
                <w:szCs w:val="21"/>
              </w:rPr>
              <w:t>13</w:t>
            </w:r>
          </w:p>
        </w:tc>
        <w:tc>
          <w:tcPr>
            <w:tcW w:w="793" w:type="dxa"/>
            <w:shd w:val="clear" w:color="000000" w:fill="55FA1A"/>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b/>
                <w:bCs/>
                <w:color w:val="000000" w:themeColor="text1"/>
                <w:kern w:val="0"/>
                <w:szCs w:val="21"/>
                <w14:textFill>
                  <w14:solidFill>
                    <w14:schemeClr w14:val="tx1"/>
                  </w14:solidFill>
                </w14:textFill>
              </w:rPr>
              <w:t>24</w:t>
            </w:r>
          </w:p>
        </w:tc>
        <w:tc>
          <w:tcPr>
            <w:tcW w:w="857" w:type="dxa"/>
            <w:shd w:val="clear" w:color="000000" w:fill="FFFFFF" w:themeFill="background1"/>
            <w:vAlign w:val="center"/>
          </w:tcPr>
          <w:p>
            <w:pPr>
              <w:widowControl/>
              <w:jc w:val="center"/>
              <w:rPr>
                <w:rFonts w:ascii="Times New Roman" w:hAnsi="Times New Roman"/>
                <w:b/>
                <w:bCs/>
                <w:color w:val="000000"/>
                <w:kern w:val="0"/>
                <w:szCs w:val="21"/>
              </w:rPr>
            </w:pPr>
            <w:r>
              <w:rPr>
                <w:rFonts w:ascii="Times New Roman" w:hAnsi="Times New Roman"/>
                <w:b/>
                <w:bCs/>
                <w:color w:val="000000"/>
                <w:kern w:val="0"/>
                <w:szCs w:val="21"/>
              </w:rPr>
              <w:t>30</w:t>
            </w:r>
          </w:p>
        </w:tc>
        <w:tc>
          <w:tcPr>
            <w:tcW w:w="732" w:type="dxa"/>
            <w:shd w:val="clear" w:color="000000" w:fill="FFFFFF" w:themeFill="background1"/>
            <w:vAlign w:val="center"/>
          </w:tcPr>
          <w:p>
            <w:pPr>
              <w:widowControl/>
              <w:jc w:val="center"/>
              <w:rPr>
                <w:rFonts w:ascii="Times New Roman" w:hAnsi="Times New Roman"/>
                <w:b/>
                <w:bCs/>
                <w:color w:val="000000"/>
                <w:kern w:val="0"/>
                <w:szCs w:val="21"/>
              </w:rPr>
            </w:pPr>
            <w:r>
              <w:rPr>
                <w:rFonts w:ascii="Times New Roman" w:hAnsi="Times New Roman"/>
                <w:b/>
                <w:bCs/>
                <w:color w:val="000000"/>
                <w:kern w:val="0"/>
                <w:szCs w:val="21"/>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463" w:type="dxa"/>
            <w:shd w:val="clear" w:color="000000" w:fill="FFFFFF" w:themeFill="background1"/>
            <w:vAlign w:val="center"/>
          </w:tcPr>
          <w:p>
            <w:pPr>
              <w:widowControl/>
              <w:jc w:val="center"/>
              <w:rPr>
                <w:rFonts w:ascii="Times New Roman" w:hAnsi="Times New Roman"/>
                <w:b/>
                <w:bCs/>
                <w:color w:val="000000"/>
                <w:kern w:val="0"/>
                <w:szCs w:val="21"/>
              </w:rPr>
            </w:pPr>
            <w:r>
              <w:rPr>
                <w:rFonts w:ascii="Times New Roman" w:hAnsi="Times New Roman"/>
                <w:b/>
                <w:bCs/>
                <w:color w:val="000000"/>
                <w:kern w:val="0"/>
                <w:szCs w:val="21"/>
              </w:rPr>
              <w:t>12</w:t>
            </w:r>
          </w:p>
        </w:tc>
        <w:tc>
          <w:tcPr>
            <w:tcW w:w="579" w:type="dxa"/>
            <w:vMerge w:val="continue"/>
            <w:shd w:val="clear" w:color="000000" w:fill="FFFFFF" w:themeFill="background1"/>
            <w:vAlign w:val="center"/>
          </w:tcPr>
          <w:p>
            <w:pPr>
              <w:jc w:val="center"/>
              <w:rPr>
                <w:rFonts w:ascii="宋体" w:hAnsi="宋体" w:cs="宋体"/>
                <w:b/>
                <w:bCs/>
                <w:color w:val="000000"/>
                <w:kern w:val="0"/>
                <w:sz w:val="18"/>
                <w:szCs w:val="18"/>
              </w:rPr>
            </w:pPr>
          </w:p>
        </w:tc>
        <w:tc>
          <w:tcPr>
            <w:tcW w:w="1918" w:type="dxa"/>
            <w:shd w:val="clear" w:color="000000" w:fill="FFFFFF" w:themeFill="background1"/>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兽药生产与营销</w:t>
            </w:r>
          </w:p>
        </w:tc>
        <w:tc>
          <w:tcPr>
            <w:tcW w:w="986" w:type="dxa"/>
            <w:shd w:val="clear" w:color="000000" w:fill="FFFFFF" w:themeFill="background1"/>
            <w:vAlign w:val="center"/>
          </w:tcPr>
          <w:p>
            <w:pPr>
              <w:widowControl/>
              <w:jc w:val="center"/>
              <w:rPr>
                <w:rFonts w:ascii="Times New Roman" w:hAnsi="Times New Roman"/>
                <w:b/>
                <w:bCs/>
                <w:color w:val="000000"/>
                <w:kern w:val="0"/>
                <w:szCs w:val="21"/>
              </w:rPr>
            </w:pPr>
            <w:r>
              <w:rPr>
                <w:rFonts w:ascii="Times New Roman" w:hAnsi="Times New Roman"/>
                <w:b/>
                <w:bCs/>
                <w:color w:val="000000"/>
                <w:kern w:val="0"/>
                <w:szCs w:val="21"/>
              </w:rPr>
              <w:t>36</w:t>
            </w:r>
          </w:p>
        </w:tc>
        <w:tc>
          <w:tcPr>
            <w:tcW w:w="964" w:type="dxa"/>
            <w:shd w:val="clear" w:color="000000" w:fill="FFFFFF" w:themeFill="background1"/>
            <w:vAlign w:val="center"/>
          </w:tcPr>
          <w:p>
            <w:pPr>
              <w:widowControl/>
              <w:jc w:val="center"/>
              <w:rPr>
                <w:rFonts w:ascii="Times New Roman" w:hAnsi="Times New Roman"/>
                <w:b/>
                <w:bCs/>
                <w:color w:val="000000"/>
                <w:kern w:val="0"/>
                <w:szCs w:val="21"/>
              </w:rPr>
            </w:pPr>
            <w:r>
              <w:rPr>
                <w:rFonts w:ascii="Times New Roman" w:hAnsi="Times New Roman"/>
                <w:b/>
                <w:bCs/>
                <w:color w:val="000000"/>
                <w:kern w:val="0"/>
                <w:szCs w:val="21"/>
              </w:rPr>
              <w:t>19</w:t>
            </w:r>
          </w:p>
        </w:tc>
        <w:tc>
          <w:tcPr>
            <w:tcW w:w="868" w:type="dxa"/>
            <w:shd w:val="clear" w:color="000000" w:fill="FFFFFF" w:themeFill="background1"/>
            <w:vAlign w:val="center"/>
          </w:tcPr>
          <w:p>
            <w:pPr>
              <w:widowControl/>
              <w:jc w:val="center"/>
              <w:rPr>
                <w:rFonts w:ascii="Times New Roman" w:hAnsi="Times New Roman"/>
                <w:b/>
                <w:bCs/>
                <w:color w:val="000000"/>
                <w:kern w:val="0"/>
                <w:szCs w:val="21"/>
              </w:rPr>
            </w:pPr>
            <w:r>
              <w:rPr>
                <w:rFonts w:ascii="Times New Roman" w:hAnsi="Times New Roman"/>
                <w:b/>
                <w:bCs/>
                <w:color w:val="000000"/>
                <w:kern w:val="0"/>
                <w:szCs w:val="21"/>
              </w:rPr>
              <w:t>17</w:t>
            </w:r>
          </w:p>
        </w:tc>
        <w:tc>
          <w:tcPr>
            <w:tcW w:w="878" w:type="dxa"/>
            <w:shd w:val="clear" w:color="000000" w:fill="FFFFFF" w:themeFill="background1"/>
            <w:vAlign w:val="center"/>
          </w:tcPr>
          <w:p>
            <w:pPr>
              <w:widowControl/>
              <w:jc w:val="center"/>
              <w:rPr>
                <w:rFonts w:ascii="Times New Roman" w:hAnsi="Times New Roman"/>
                <w:b/>
                <w:bCs/>
                <w:color w:val="000000"/>
                <w:kern w:val="0"/>
                <w:szCs w:val="21"/>
              </w:rPr>
            </w:pPr>
            <w:r>
              <w:rPr>
                <w:rFonts w:ascii="Times New Roman" w:hAnsi="Times New Roman"/>
                <w:b/>
                <w:bCs/>
                <w:color w:val="000000"/>
                <w:kern w:val="0"/>
                <w:szCs w:val="21"/>
              </w:rPr>
              <w:t>10</w:t>
            </w:r>
          </w:p>
        </w:tc>
        <w:tc>
          <w:tcPr>
            <w:tcW w:w="793" w:type="dxa"/>
            <w:shd w:val="clear" w:color="000000" w:fill="55FA1A"/>
            <w:vAlign w:val="center"/>
          </w:tcPr>
          <w:p>
            <w:pPr>
              <w:widowControl/>
              <w:jc w:val="center"/>
              <w:rPr>
                <w:rFonts w:ascii="Times New Roman" w:hAnsi="Times New Roman"/>
                <w:b/>
                <w:bCs/>
                <w:color w:val="000000" w:themeColor="text1"/>
                <w:kern w:val="0"/>
                <w:szCs w:val="21"/>
                <w14:textFill>
                  <w14:solidFill>
                    <w14:schemeClr w14:val="tx1"/>
                  </w14:solidFill>
                </w14:textFill>
              </w:rPr>
            </w:pPr>
            <w:r>
              <w:rPr>
                <w:rFonts w:ascii="Times New Roman" w:hAnsi="Times New Roman"/>
                <w:b/>
                <w:bCs/>
                <w:color w:val="000000" w:themeColor="text1"/>
                <w:kern w:val="0"/>
                <w:szCs w:val="21"/>
                <w14:textFill>
                  <w14:solidFill>
                    <w14:schemeClr w14:val="tx1"/>
                  </w14:solidFill>
                </w14:textFill>
              </w:rPr>
              <w:t>26</w:t>
            </w:r>
          </w:p>
        </w:tc>
        <w:tc>
          <w:tcPr>
            <w:tcW w:w="857" w:type="dxa"/>
            <w:shd w:val="clear" w:color="000000" w:fill="FFFFFF" w:themeFill="background1"/>
            <w:vAlign w:val="center"/>
          </w:tcPr>
          <w:p>
            <w:pPr>
              <w:widowControl/>
              <w:jc w:val="center"/>
              <w:rPr>
                <w:rFonts w:ascii="Times New Roman" w:hAnsi="Times New Roman"/>
                <w:b/>
                <w:bCs/>
                <w:color w:val="000000"/>
                <w:kern w:val="0"/>
                <w:szCs w:val="21"/>
              </w:rPr>
            </w:pPr>
            <w:r>
              <w:rPr>
                <w:rFonts w:ascii="Times New Roman" w:hAnsi="Times New Roman"/>
                <w:b/>
                <w:bCs/>
                <w:color w:val="000000"/>
                <w:kern w:val="0"/>
                <w:szCs w:val="21"/>
              </w:rPr>
              <w:t>35</w:t>
            </w:r>
          </w:p>
        </w:tc>
        <w:tc>
          <w:tcPr>
            <w:tcW w:w="732" w:type="dxa"/>
            <w:shd w:val="clear" w:color="000000" w:fill="FFFFFF" w:themeFill="background1"/>
            <w:vAlign w:val="center"/>
          </w:tcPr>
          <w:p>
            <w:pPr>
              <w:widowControl/>
              <w:jc w:val="center"/>
              <w:rPr>
                <w:rFonts w:ascii="Times New Roman" w:hAnsi="Times New Roman"/>
                <w:b/>
                <w:bCs/>
                <w:color w:val="000000"/>
                <w:kern w:val="0"/>
                <w:szCs w:val="21"/>
              </w:rPr>
            </w:pPr>
            <w:r>
              <w:rPr>
                <w:rFonts w:ascii="Times New Roman" w:hAnsi="Times New Roman"/>
                <w:b/>
                <w:bCs/>
                <w:color w:val="000000"/>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463"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13</w:t>
            </w:r>
          </w:p>
        </w:tc>
        <w:tc>
          <w:tcPr>
            <w:tcW w:w="579" w:type="dxa"/>
            <w:vMerge w:val="continue"/>
            <w:shd w:val="clear" w:color="auto" w:fill="auto"/>
            <w:vAlign w:val="center"/>
          </w:tcPr>
          <w:p>
            <w:pPr>
              <w:jc w:val="center"/>
              <w:rPr>
                <w:rFonts w:ascii="宋体" w:hAnsi="宋体" w:cs="宋体"/>
                <w:b/>
                <w:color w:val="000000"/>
                <w:kern w:val="0"/>
                <w:sz w:val="18"/>
                <w:szCs w:val="18"/>
              </w:rPr>
            </w:pPr>
          </w:p>
        </w:tc>
        <w:tc>
          <w:tcPr>
            <w:tcW w:w="1918" w:type="dxa"/>
            <w:shd w:val="clear" w:color="auto" w:fill="auto"/>
            <w:vAlign w:val="center"/>
          </w:tcPr>
          <w:p>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兽  医</w:t>
            </w:r>
          </w:p>
        </w:tc>
        <w:tc>
          <w:tcPr>
            <w:tcW w:w="986"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78</w:t>
            </w:r>
          </w:p>
        </w:tc>
        <w:tc>
          <w:tcPr>
            <w:tcW w:w="964"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66</w:t>
            </w:r>
          </w:p>
        </w:tc>
        <w:tc>
          <w:tcPr>
            <w:tcW w:w="868"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12</w:t>
            </w:r>
          </w:p>
        </w:tc>
        <w:tc>
          <w:tcPr>
            <w:tcW w:w="878"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54</w:t>
            </w:r>
          </w:p>
        </w:tc>
        <w:tc>
          <w:tcPr>
            <w:tcW w:w="793"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24</w:t>
            </w:r>
          </w:p>
        </w:tc>
        <w:tc>
          <w:tcPr>
            <w:tcW w:w="857"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72</w:t>
            </w:r>
          </w:p>
        </w:tc>
        <w:tc>
          <w:tcPr>
            <w:tcW w:w="732"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463"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14</w:t>
            </w:r>
          </w:p>
        </w:tc>
        <w:tc>
          <w:tcPr>
            <w:tcW w:w="579" w:type="dxa"/>
            <w:vMerge w:val="continue"/>
            <w:shd w:val="clear" w:color="auto" w:fill="auto"/>
            <w:vAlign w:val="center"/>
          </w:tcPr>
          <w:p>
            <w:pPr>
              <w:jc w:val="center"/>
              <w:rPr>
                <w:rFonts w:ascii="宋体" w:hAnsi="宋体" w:cs="宋体"/>
                <w:b/>
                <w:color w:val="000000"/>
                <w:kern w:val="0"/>
                <w:sz w:val="18"/>
                <w:szCs w:val="18"/>
              </w:rPr>
            </w:pPr>
          </w:p>
        </w:tc>
        <w:tc>
          <w:tcPr>
            <w:tcW w:w="1918" w:type="dxa"/>
            <w:shd w:val="clear" w:color="auto" w:fill="auto"/>
            <w:vAlign w:val="center"/>
          </w:tcPr>
          <w:p>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畜牧兽医(兽医)</w:t>
            </w:r>
          </w:p>
        </w:tc>
        <w:tc>
          <w:tcPr>
            <w:tcW w:w="986"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152</w:t>
            </w:r>
          </w:p>
        </w:tc>
        <w:tc>
          <w:tcPr>
            <w:tcW w:w="964"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0</w:t>
            </w:r>
          </w:p>
        </w:tc>
        <w:tc>
          <w:tcPr>
            <w:tcW w:w="868"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152</w:t>
            </w:r>
          </w:p>
        </w:tc>
        <w:tc>
          <w:tcPr>
            <w:tcW w:w="878"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101</w:t>
            </w:r>
          </w:p>
        </w:tc>
        <w:tc>
          <w:tcPr>
            <w:tcW w:w="793"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51</w:t>
            </w:r>
          </w:p>
        </w:tc>
        <w:tc>
          <w:tcPr>
            <w:tcW w:w="857"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120</w:t>
            </w:r>
          </w:p>
        </w:tc>
        <w:tc>
          <w:tcPr>
            <w:tcW w:w="732"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463"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15</w:t>
            </w:r>
          </w:p>
        </w:tc>
        <w:tc>
          <w:tcPr>
            <w:tcW w:w="579" w:type="dxa"/>
            <w:vMerge w:val="continue"/>
            <w:shd w:val="clear" w:color="auto" w:fill="auto"/>
            <w:vAlign w:val="center"/>
          </w:tcPr>
          <w:p>
            <w:pPr>
              <w:widowControl/>
              <w:jc w:val="center"/>
              <w:rPr>
                <w:rFonts w:ascii="宋体" w:hAnsi="宋体" w:cs="宋体"/>
                <w:b/>
                <w:color w:val="000000"/>
                <w:kern w:val="0"/>
                <w:sz w:val="18"/>
                <w:szCs w:val="18"/>
              </w:rPr>
            </w:pPr>
          </w:p>
        </w:tc>
        <w:tc>
          <w:tcPr>
            <w:tcW w:w="1918" w:type="dxa"/>
            <w:shd w:val="clear" w:color="auto" w:fill="auto"/>
            <w:vAlign w:val="center"/>
          </w:tcPr>
          <w:p>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畜牧兽医</w:t>
            </w:r>
          </w:p>
        </w:tc>
        <w:tc>
          <w:tcPr>
            <w:tcW w:w="986"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131</w:t>
            </w:r>
          </w:p>
        </w:tc>
        <w:tc>
          <w:tcPr>
            <w:tcW w:w="964"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85</w:t>
            </w:r>
          </w:p>
        </w:tc>
        <w:tc>
          <w:tcPr>
            <w:tcW w:w="868"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46</w:t>
            </w:r>
          </w:p>
        </w:tc>
        <w:tc>
          <w:tcPr>
            <w:tcW w:w="878"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93</w:t>
            </w:r>
          </w:p>
        </w:tc>
        <w:tc>
          <w:tcPr>
            <w:tcW w:w="793"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38</w:t>
            </w:r>
          </w:p>
        </w:tc>
        <w:tc>
          <w:tcPr>
            <w:tcW w:w="857"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111</w:t>
            </w:r>
          </w:p>
        </w:tc>
        <w:tc>
          <w:tcPr>
            <w:tcW w:w="732"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463"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16</w:t>
            </w:r>
          </w:p>
        </w:tc>
        <w:tc>
          <w:tcPr>
            <w:tcW w:w="579" w:type="dxa"/>
            <w:vMerge w:val="restart"/>
            <w:shd w:val="clear" w:color="auto" w:fill="auto"/>
            <w:vAlign w:val="center"/>
          </w:tcPr>
          <w:p>
            <w:pPr>
              <w:jc w:val="center"/>
              <w:rPr>
                <w:rFonts w:ascii="宋体" w:hAnsi="宋体" w:cs="宋体"/>
                <w:b/>
                <w:color w:val="000000"/>
                <w:kern w:val="0"/>
                <w:sz w:val="18"/>
                <w:szCs w:val="18"/>
              </w:rPr>
            </w:pPr>
            <w:r>
              <w:rPr>
                <w:rFonts w:hint="eastAsia" w:ascii="宋体" w:hAnsi="宋体" w:cs="宋体"/>
                <w:b/>
                <w:color w:val="000000"/>
                <w:kern w:val="0"/>
                <w:sz w:val="18"/>
                <w:szCs w:val="18"/>
              </w:rPr>
              <w:t>机</w:t>
            </w:r>
          </w:p>
          <w:p>
            <w:pPr>
              <w:jc w:val="center"/>
              <w:rPr>
                <w:rFonts w:ascii="宋体" w:hAnsi="宋体" w:cs="宋体"/>
                <w:b/>
                <w:color w:val="000000"/>
                <w:kern w:val="0"/>
                <w:sz w:val="18"/>
                <w:szCs w:val="18"/>
              </w:rPr>
            </w:pPr>
            <w:r>
              <w:rPr>
                <w:rFonts w:hint="eastAsia" w:ascii="宋体" w:hAnsi="宋体" w:cs="宋体"/>
                <w:b/>
                <w:color w:val="000000"/>
                <w:kern w:val="0"/>
                <w:sz w:val="18"/>
                <w:szCs w:val="18"/>
              </w:rPr>
              <w:t>械</w:t>
            </w:r>
          </w:p>
          <w:p>
            <w:pPr>
              <w:jc w:val="center"/>
              <w:rPr>
                <w:rFonts w:ascii="宋体" w:hAnsi="宋体" w:cs="宋体"/>
                <w:b/>
                <w:color w:val="000000"/>
                <w:kern w:val="0"/>
                <w:sz w:val="18"/>
                <w:szCs w:val="18"/>
              </w:rPr>
            </w:pPr>
            <w:r>
              <w:rPr>
                <w:rFonts w:hint="eastAsia" w:ascii="宋体" w:hAnsi="宋体" w:cs="宋体"/>
                <w:b/>
                <w:color w:val="000000"/>
                <w:kern w:val="0"/>
                <w:sz w:val="18"/>
                <w:szCs w:val="18"/>
              </w:rPr>
              <w:t>工</w:t>
            </w:r>
          </w:p>
          <w:p>
            <w:pPr>
              <w:jc w:val="center"/>
              <w:rPr>
                <w:rFonts w:ascii="宋体" w:hAnsi="宋体" w:cs="宋体"/>
                <w:b/>
                <w:color w:val="000000"/>
                <w:kern w:val="0"/>
                <w:sz w:val="18"/>
                <w:szCs w:val="18"/>
              </w:rPr>
            </w:pPr>
            <w:r>
              <w:rPr>
                <w:rFonts w:hint="eastAsia" w:ascii="宋体" w:hAnsi="宋体" w:cs="宋体"/>
                <w:b/>
                <w:color w:val="000000"/>
                <w:kern w:val="0"/>
                <w:sz w:val="18"/>
                <w:szCs w:val="18"/>
              </w:rPr>
              <w:t>程</w:t>
            </w:r>
          </w:p>
          <w:p>
            <w:pPr>
              <w:jc w:val="center"/>
              <w:rPr>
                <w:rFonts w:ascii="宋体" w:hAnsi="宋体" w:cs="宋体"/>
                <w:b/>
                <w:color w:val="000000"/>
                <w:kern w:val="0"/>
                <w:sz w:val="18"/>
                <w:szCs w:val="18"/>
              </w:rPr>
            </w:pPr>
            <w:r>
              <w:rPr>
                <w:rFonts w:hint="eastAsia" w:ascii="宋体" w:hAnsi="宋体" w:cs="宋体"/>
                <w:b/>
                <w:color w:val="000000"/>
                <w:kern w:val="0"/>
                <w:sz w:val="18"/>
                <w:szCs w:val="18"/>
              </w:rPr>
              <w:t>系</w:t>
            </w:r>
          </w:p>
          <w:p>
            <w:pPr>
              <w:jc w:val="center"/>
              <w:rPr>
                <w:rFonts w:ascii="宋体" w:hAnsi="宋体" w:cs="宋体"/>
                <w:b/>
                <w:color w:val="000000"/>
                <w:kern w:val="0"/>
                <w:sz w:val="18"/>
                <w:szCs w:val="18"/>
              </w:rPr>
            </w:pPr>
          </w:p>
        </w:tc>
        <w:tc>
          <w:tcPr>
            <w:tcW w:w="1918" w:type="dxa"/>
            <w:shd w:val="clear" w:color="auto" w:fill="auto"/>
            <w:vAlign w:val="center"/>
          </w:tcPr>
          <w:p>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材料成型与控制技术</w:t>
            </w:r>
          </w:p>
        </w:tc>
        <w:tc>
          <w:tcPr>
            <w:tcW w:w="986"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41</w:t>
            </w:r>
          </w:p>
        </w:tc>
        <w:tc>
          <w:tcPr>
            <w:tcW w:w="964"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41</w:t>
            </w:r>
          </w:p>
        </w:tc>
        <w:tc>
          <w:tcPr>
            <w:tcW w:w="868"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0</w:t>
            </w:r>
          </w:p>
        </w:tc>
        <w:tc>
          <w:tcPr>
            <w:tcW w:w="878"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23</w:t>
            </w:r>
          </w:p>
        </w:tc>
        <w:tc>
          <w:tcPr>
            <w:tcW w:w="793"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18</w:t>
            </w:r>
          </w:p>
        </w:tc>
        <w:tc>
          <w:tcPr>
            <w:tcW w:w="857"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27</w:t>
            </w:r>
          </w:p>
        </w:tc>
        <w:tc>
          <w:tcPr>
            <w:tcW w:w="732"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463"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17</w:t>
            </w:r>
          </w:p>
        </w:tc>
        <w:tc>
          <w:tcPr>
            <w:tcW w:w="579" w:type="dxa"/>
            <w:vMerge w:val="continue"/>
            <w:shd w:val="clear" w:color="auto" w:fill="auto"/>
            <w:vAlign w:val="center"/>
          </w:tcPr>
          <w:p>
            <w:pPr>
              <w:jc w:val="center"/>
              <w:rPr>
                <w:rFonts w:ascii="宋体" w:hAnsi="宋体" w:cs="宋体"/>
                <w:b/>
                <w:color w:val="000000"/>
                <w:kern w:val="0"/>
                <w:sz w:val="18"/>
                <w:szCs w:val="18"/>
              </w:rPr>
            </w:pPr>
          </w:p>
        </w:tc>
        <w:tc>
          <w:tcPr>
            <w:tcW w:w="1918" w:type="dxa"/>
            <w:shd w:val="clear" w:color="auto" w:fill="auto"/>
            <w:vAlign w:val="center"/>
          </w:tcPr>
          <w:p>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焊接技术及自动化</w:t>
            </w:r>
          </w:p>
        </w:tc>
        <w:tc>
          <w:tcPr>
            <w:tcW w:w="986"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32</w:t>
            </w:r>
          </w:p>
        </w:tc>
        <w:tc>
          <w:tcPr>
            <w:tcW w:w="964"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24</w:t>
            </w:r>
          </w:p>
        </w:tc>
        <w:tc>
          <w:tcPr>
            <w:tcW w:w="868"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8</w:t>
            </w:r>
          </w:p>
        </w:tc>
        <w:tc>
          <w:tcPr>
            <w:tcW w:w="878"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32</w:t>
            </w:r>
          </w:p>
        </w:tc>
        <w:tc>
          <w:tcPr>
            <w:tcW w:w="793"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0</w:t>
            </w:r>
          </w:p>
        </w:tc>
        <w:tc>
          <w:tcPr>
            <w:tcW w:w="857"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28</w:t>
            </w:r>
          </w:p>
        </w:tc>
        <w:tc>
          <w:tcPr>
            <w:tcW w:w="732"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463"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18</w:t>
            </w:r>
          </w:p>
        </w:tc>
        <w:tc>
          <w:tcPr>
            <w:tcW w:w="579" w:type="dxa"/>
            <w:vMerge w:val="continue"/>
            <w:shd w:val="clear" w:color="auto" w:fill="auto"/>
            <w:vAlign w:val="center"/>
          </w:tcPr>
          <w:p>
            <w:pPr>
              <w:jc w:val="center"/>
              <w:rPr>
                <w:rFonts w:ascii="宋体" w:hAnsi="宋体" w:cs="宋体"/>
                <w:b/>
                <w:color w:val="000000"/>
                <w:kern w:val="0"/>
                <w:sz w:val="18"/>
                <w:szCs w:val="18"/>
              </w:rPr>
            </w:pPr>
          </w:p>
        </w:tc>
        <w:tc>
          <w:tcPr>
            <w:tcW w:w="1918" w:type="dxa"/>
            <w:shd w:val="clear" w:color="auto" w:fill="auto"/>
            <w:vAlign w:val="center"/>
          </w:tcPr>
          <w:p>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机械设计与制造</w:t>
            </w:r>
          </w:p>
        </w:tc>
        <w:tc>
          <w:tcPr>
            <w:tcW w:w="986"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93</w:t>
            </w:r>
          </w:p>
        </w:tc>
        <w:tc>
          <w:tcPr>
            <w:tcW w:w="964"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65</w:t>
            </w:r>
          </w:p>
        </w:tc>
        <w:tc>
          <w:tcPr>
            <w:tcW w:w="868"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28</w:t>
            </w:r>
          </w:p>
        </w:tc>
        <w:tc>
          <w:tcPr>
            <w:tcW w:w="878"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55</w:t>
            </w:r>
          </w:p>
        </w:tc>
        <w:tc>
          <w:tcPr>
            <w:tcW w:w="793"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38</w:t>
            </w:r>
          </w:p>
        </w:tc>
        <w:tc>
          <w:tcPr>
            <w:tcW w:w="857"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81</w:t>
            </w:r>
          </w:p>
        </w:tc>
        <w:tc>
          <w:tcPr>
            <w:tcW w:w="732"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463" w:type="dxa"/>
            <w:tcBorders>
              <w:bottom w:val="single" w:color="auto" w:sz="4" w:space="0"/>
            </w:tcBorders>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19</w:t>
            </w:r>
          </w:p>
        </w:tc>
        <w:tc>
          <w:tcPr>
            <w:tcW w:w="579" w:type="dxa"/>
            <w:vMerge w:val="continue"/>
            <w:tcBorders>
              <w:bottom w:val="single" w:color="auto" w:sz="4" w:space="0"/>
            </w:tcBorders>
            <w:shd w:val="clear" w:color="auto" w:fill="auto"/>
            <w:vAlign w:val="center"/>
          </w:tcPr>
          <w:p>
            <w:pPr>
              <w:jc w:val="center"/>
              <w:rPr>
                <w:rFonts w:ascii="宋体" w:hAnsi="宋体" w:cs="宋体"/>
                <w:b/>
                <w:color w:val="000000"/>
                <w:kern w:val="0"/>
                <w:sz w:val="18"/>
                <w:szCs w:val="18"/>
              </w:rPr>
            </w:pPr>
          </w:p>
        </w:tc>
        <w:tc>
          <w:tcPr>
            <w:tcW w:w="1918" w:type="dxa"/>
            <w:tcBorders>
              <w:bottom w:val="single" w:color="auto" w:sz="4" w:space="0"/>
            </w:tcBorders>
            <w:shd w:val="clear" w:color="auto" w:fill="auto"/>
            <w:vAlign w:val="center"/>
          </w:tcPr>
          <w:p>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机械制造与自动化</w:t>
            </w:r>
          </w:p>
        </w:tc>
        <w:tc>
          <w:tcPr>
            <w:tcW w:w="986" w:type="dxa"/>
            <w:tcBorders>
              <w:bottom w:val="single" w:color="auto" w:sz="4" w:space="0"/>
            </w:tcBorders>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112</w:t>
            </w:r>
          </w:p>
        </w:tc>
        <w:tc>
          <w:tcPr>
            <w:tcW w:w="964" w:type="dxa"/>
            <w:tcBorders>
              <w:bottom w:val="single" w:color="auto" w:sz="4" w:space="0"/>
            </w:tcBorders>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94</w:t>
            </w:r>
          </w:p>
        </w:tc>
        <w:tc>
          <w:tcPr>
            <w:tcW w:w="868" w:type="dxa"/>
            <w:tcBorders>
              <w:bottom w:val="single" w:color="auto" w:sz="4" w:space="0"/>
            </w:tcBorders>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18</w:t>
            </w:r>
          </w:p>
        </w:tc>
        <w:tc>
          <w:tcPr>
            <w:tcW w:w="878" w:type="dxa"/>
            <w:tcBorders>
              <w:bottom w:val="single" w:color="auto" w:sz="4" w:space="0"/>
            </w:tcBorders>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75</w:t>
            </w:r>
          </w:p>
        </w:tc>
        <w:tc>
          <w:tcPr>
            <w:tcW w:w="793" w:type="dxa"/>
            <w:tcBorders>
              <w:bottom w:val="single" w:color="auto" w:sz="4" w:space="0"/>
            </w:tcBorders>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37</w:t>
            </w:r>
          </w:p>
        </w:tc>
        <w:tc>
          <w:tcPr>
            <w:tcW w:w="857" w:type="dxa"/>
            <w:tcBorders>
              <w:bottom w:val="single" w:color="auto" w:sz="4" w:space="0"/>
            </w:tcBorders>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95</w:t>
            </w:r>
          </w:p>
        </w:tc>
        <w:tc>
          <w:tcPr>
            <w:tcW w:w="732" w:type="dxa"/>
            <w:tcBorders>
              <w:bottom w:val="single" w:color="auto" w:sz="4" w:space="0"/>
            </w:tcBorders>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463" w:type="dxa"/>
            <w:shd w:val="clear" w:color="000000" w:fill="FFFFFF" w:themeFill="background1"/>
            <w:vAlign w:val="center"/>
          </w:tcPr>
          <w:p>
            <w:pPr>
              <w:widowControl/>
              <w:jc w:val="center"/>
              <w:rPr>
                <w:rFonts w:ascii="Times New Roman" w:hAnsi="Times New Roman"/>
                <w:b/>
                <w:bCs/>
                <w:color w:val="000000"/>
                <w:kern w:val="0"/>
                <w:szCs w:val="21"/>
              </w:rPr>
            </w:pPr>
            <w:r>
              <w:rPr>
                <w:rFonts w:ascii="Times New Roman" w:hAnsi="Times New Roman"/>
                <w:b/>
                <w:bCs/>
                <w:color w:val="000000"/>
                <w:kern w:val="0"/>
                <w:szCs w:val="21"/>
              </w:rPr>
              <w:t>20</w:t>
            </w:r>
          </w:p>
        </w:tc>
        <w:tc>
          <w:tcPr>
            <w:tcW w:w="579" w:type="dxa"/>
            <w:vMerge w:val="continue"/>
            <w:shd w:val="clear" w:color="000000" w:fill="FFFFFF" w:themeFill="background1"/>
            <w:vAlign w:val="center"/>
          </w:tcPr>
          <w:p>
            <w:pPr>
              <w:jc w:val="center"/>
              <w:rPr>
                <w:rFonts w:ascii="宋体" w:hAnsi="宋体" w:cs="宋体"/>
                <w:b/>
                <w:bCs/>
                <w:color w:val="000000"/>
                <w:kern w:val="0"/>
                <w:sz w:val="18"/>
                <w:szCs w:val="18"/>
              </w:rPr>
            </w:pPr>
          </w:p>
        </w:tc>
        <w:tc>
          <w:tcPr>
            <w:tcW w:w="1918" w:type="dxa"/>
            <w:shd w:val="clear" w:color="000000" w:fill="FFFFFF" w:themeFill="background1"/>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模具设计与制造</w:t>
            </w:r>
          </w:p>
        </w:tc>
        <w:tc>
          <w:tcPr>
            <w:tcW w:w="986" w:type="dxa"/>
            <w:shd w:val="clear" w:color="000000" w:fill="FFFFFF" w:themeFill="background1"/>
            <w:vAlign w:val="center"/>
          </w:tcPr>
          <w:p>
            <w:pPr>
              <w:widowControl/>
              <w:jc w:val="center"/>
              <w:rPr>
                <w:rFonts w:ascii="Times New Roman" w:hAnsi="Times New Roman"/>
                <w:b/>
                <w:bCs/>
                <w:color w:val="000000"/>
                <w:kern w:val="0"/>
                <w:szCs w:val="21"/>
              </w:rPr>
            </w:pPr>
            <w:r>
              <w:rPr>
                <w:rFonts w:ascii="Times New Roman" w:hAnsi="Times New Roman"/>
                <w:b/>
                <w:bCs/>
                <w:color w:val="000000"/>
                <w:kern w:val="0"/>
                <w:szCs w:val="21"/>
              </w:rPr>
              <w:t>38</w:t>
            </w:r>
          </w:p>
        </w:tc>
        <w:tc>
          <w:tcPr>
            <w:tcW w:w="964" w:type="dxa"/>
            <w:shd w:val="clear" w:color="000000" w:fill="FFFFFF" w:themeFill="background1"/>
            <w:vAlign w:val="center"/>
          </w:tcPr>
          <w:p>
            <w:pPr>
              <w:widowControl/>
              <w:jc w:val="center"/>
              <w:rPr>
                <w:rFonts w:ascii="Times New Roman" w:hAnsi="Times New Roman"/>
                <w:b/>
                <w:bCs/>
                <w:color w:val="000000"/>
                <w:kern w:val="0"/>
                <w:szCs w:val="21"/>
              </w:rPr>
            </w:pPr>
            <w:r>
              <w:rPr>
                <w:rFonts w:ascii="Times New Roman" w:hAnsi="Times New Roman"/>
                <w:b/>
                <w:bCs/>
                <w:color w:val="000000"/>
                <w:kern w:val="0"/>
                <w:szCs w:val="21"/>
              </w:rPr>
              <w:t>38</w:t>
            </w:r>
          </w:p>
        </w:tc>
        <w:tc>
          <w:tcPr>
            <w:tcW w:w="868" w:type="dxa"/>
            <w:shd w:val="clear" w:color="000000" w:fill="FFFFFF" w:themeFill="background1"/>
            <w:vAlign w:val="center"/>
          </w:tcPr>
          <w:p>
            <w:pPr>
              <w:widowControl/>
              <w:jc w:val="center"/>
              <w:rPr>
                <w:rFonts w:ascii="Times New Roman" w:hAnsi="Times New Roman"/>
                <w:b/>
                <w:bCs/>
                <w:color w:val="000000"/>
                <w:kern w:val="0"/>
                <w:szCs w:val="21"/>
              </w:rPr>
            </w:pPr>
            <w:r>
              <w:rPr>
                <w:rFonts w:ascii="Times New Roman" w:hAnsi="Times New Roman"/>
                <w:b/>
                <w:bCs/>
                <w:color w:val="000000"/>
                <w:kern w:val="0"/>
                <w:szCs w:val="21"/>
              </w:rPr>
              <w:t>0</w:t>
            </w:r>
          </w:p>
        </w:tc>
        <w:tc>
          <w:tcPr>
            <w:tcW w:w="878" w:type="dxa"/>
            <w:shd w:val="clear" w:color="000000" w:fill="FFFFFF" w:themeFill="background1"/>
            <w:vAlign w:val="center"/>
          </w:tcPr>
          <w:p>
            <w:pPr>
              <w:widowControl/>
              <w:jc w:val="center"/>
              <w:rPr>
                <w:rFonts w:ascii="Times New Roman" w:hAnsi="Times New Roman"/>
                <w:b/>
                <w:bCs/>
                <w:color w:val="000000"/>
                <w:kern w:val="0"/>
                <w:szCs w:val="21"/>
              </w:rPr>
            </w:pPr>
            <w:r>
              <w:rPr>
                <w:rFonts w:ascii="Times New Roman" w:hAnsi="Times New Roman"/>
                <w:b/>
                <w:bCs/>
                <w:color w:val="000000"/>
                <w:kern w:val="0"/>
                <w:szCs w:val="21"/>
              </w:rPr>
              <w:t>17</w:t>
            </w:r>
          </w:p>
        </w:tc>
        <w:tc>
          <w:tcPr>
            <w:tcW w:w="793" w:type="dxa"/>
            <w:shd w:val="clear" w:color="000000" w:fill="55FA1A"/>
            <w:vAlign w:val="center"/>
          </w:tcPr>
          <w:p>
            <w:pPr>
              <w:widowControl/>
              <w:jc w:val="center"/>
              <w:rPr>
                <w:rFonts w:ascii="Times New Roman" w:hAnsi="Times New Roman"/>
                <w:b/>
                <w:bCs/>
                <w:kern w:val="0"/>
                <w:szCs w:val="21"/>
                <w:highlight w:val="green"/>
              </w:rPr>
            </w:pPr>
            <w:r>
              <w:rPr>
                <w:rFonts w:ascii="Times New Roman" w:hAnsi="Times New Roman"/>
                <w:b/>
                <w:bCs/>
                <w:kern w:val="0"/>
                <w:szCs w:val="21"/>
              </w:rPr>
              <w:t>21</w:t>
            </w:r>
          </w:p>
        </w:tc>
        <w:tc>
          <w:tcPr>
            <w:tcW w:w="857" w:type="dxa"/>
            <w:shd w:val="clear" w:color="000000" w:fill="FFFFFF" w:themeFill="background1"/>
            <w:vAlign w:val="center"/>
          </w:tcPr>
          <w:p>
            <w:pPr>
              <w:widowControl/>
              <w:jc w:val="center"/>
              <w:rPr>
                <w:rFonts w:ascii="Times New Roman" w:hAnsi="Times New Roman"/>
                <w:b/>
                <w:bCs/>
                <w:color w:val="000000"/>
                <w:kern w:val="0"/>
                <w:szCs w:val="21"/>
              </w:rPr>
            </w:pPr>
            <w:r>
              <w:rPr>
                <w:rFonts w:ascii="Times New Roman" w:hAnsi="Times New Roman"/>
                <w:b/>
                <w:bCs/>
                <w:color w:val="000000"/>
                <w:kern w:val="0"/>
                <w:szCs w:val="21"/>
              </w:rPr>
              <w:t>28</w:t>
            </w:r>
          </w:p>
        </w:tc>
        <w:tc>
          <w:tcPr>
            <w:tcW w:w="732" w:type="dxa"/>
            <w:shd w:val="clear" w:color="000000" w:fill="FFFFFF" w:themeFill="background1"/>
            <w:vAlign w:val="center"/>
          </w:tcPr>
          <w:p>
            <w:pPr>
              <w:widowControl/>
              <w:jc w:val="center"/>
              <w:rPr>
                <w:rFonts w:ascii="Times New Roman" w:hAnsi="Times New Roman"/>
                <w:b/>
                <w:bCs/>
                <w:color w:val="000000"/>
                <w:kern w:val="0"/>
                <w:szCs w:val="21"/>
              </w:rPr>
            </w:pPr>
            <w:r>
              <w:rPr>
                <w:rFonts w:ascii="Times New Roman" w:hAnsi="Times New Roman"/>
                <w:b/>
                <w:bCs/>
                <w:color w:val="000000"/>
                <w:kern w:val="0"/>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463"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21</w:t>
            </w:r>
          </w:p>
        </w:tc>
        <w:tc>
          <w:tcPr>
            <w:tcW w:w="579" w:type="dxa"/>
            <w:vMerge w:val="continue"/>
            <w:shd w:val="clear" w:color="auto" w:fill="auto"/>
            <w:vAlign w:val="center"/>
          </w:tcPr>
          <w:p>
            <w:pPr>
              <w:jc w:val="center"/>
              <w:rPr>
                <w:rFonts w:ascii="宋体" w:hAnsi="宋体" w:cs="宋体"/>
                <w:b/>
                <w:color w:val="000000"/>
                <w:kern w:val="0"/>
                <w:sz w:val="18"/>
                <w:szCs w:val="18"/>
              </w:rPr>
            </w:pPr>
          </w:p>
        </w:tc>
        <w:tc>
          <w:tcPr>
            <w:tcW w:w="1918" w:type="dxa"/>
            <w:shd w:val="clear" w:color="auto" w:fill="auto"/>
            <w:vAlign w:val="center"/>
          </w:tcPr>
          <w:p>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农业机械制造与装配</w:t>
            </w:r>
          </w:p>
        </w:tc>
        <w:tc>
          <w:tcPr>
            <w:tcW w:w="986"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44</w:t>
            </w:r>
          </w:p>
        </w:tc>
        <w:tc>
          <w:tcPr>
            <w:tcW w:w="964"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44</w:t>
            </w:r>
          </w:p>
        </w:tc>
        <w:tc>
          <w:tcPr>
            <w:tcW w:w="868"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0</w:t>
            </w:r>
          </w:p>
        </w:tc>
        <w:tc>
          <w:tcPr>
            <w:tcW w:w="878"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30</w:t>
            </w:r>
          </w:p>
        </w:tc>
        <w:tc>
          <w:tcPr>
            <w:tcW w:w="793"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14</w:t>
            </w:r>
          </w:p>
        </w:tc>
        <w:tc>
          <w:tcPr>
            <w:tcW w:w="857"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32</w:t>
            </w:r>
          </w:p>
        </w:tc>
        <w:tc>
          <w:tcPr>
            <w:tcW w:w="732"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463"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22</w:t>
            </w:r>
          </w:p>
        </w:tc>
        <w:tc>
          <w:tcPr>
            <w:tcW w:w="579" w:type="dxa"/>
            <w:vMerge w:val="continue"/>
            <w:shd w:val="clear" w:color="auto" w:fill="auto"/>
            <w:vAlign w:val="center"/>
          </w:tcPr>
          <w:p>
            <w:pPr>
              <w:widowControl/>
              <w:jc w:val="center"/>
              <w:rPr>
                <w:rFonts w:ascii="宋体" w:hAnsi="宋体" w:cs="宋体"/>
                <w:b/>
                <w:color w:val="000000"/>
                <w:kern w:val="0"/>
                <w:sz w:val="18"/>
                <w:szCs w:val="18"/>
              </w:rPr>
            </w:pPr>
          </w:p>
        </w:tc>
        <w:tc>
          <w:tcPr>
            <w:tcW w:w="1918" w:type="dxa"/>
            <w:shd w:val="clear" w:color="auto" w:fill="auto"/>
            <w:vAlign w:val="center"/>
          </w:tcPr>
          <w:p>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数控技术</w:t>
            </w:r>
          </w:p>
        </w:tc>
        <w:tc>
          <w:tcPr>
            <w:tcW w:w="986"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36</w:t>
            </w:r>
          </w:p>
        </w:tc>
        <w:tc>
          <w:tcPr>
            <w:tcW w:w="964"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36</w:t>
            </w:r>
          </w:p>
        </w:tc>
        <w:tc>
          <w:tcPr>
            <w:tcW w:w="868"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0</w:t>
            </w:r>
          </w:p>
        </w:tc>
        <w:tc>
          <w:tcPr>
            <w:tcW w:w="878"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23</w:t>
            </w:r>
          </w:p>
        </w:tc>
        <w:tc>
          <w:tcPr>
            <w:tcW w:w="793"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13</w:t>
            </w:r>
          </w:p>
        </w:tc>
        <w:tc>
          <w:tcPr>
            <w:tcW w:w="857"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31</w:t>
            </w:r>
          </w:p>
        </w:tc>
        <w:tc>
          <w:tcPr>
            <w:tcW w:w="732"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463" w:type="dxa"/>
            <w:tcBorders>
              <w:bottom w:val="single" w:color="auto" w:sz="4" w:space="0"/>
            </w:tcBorders>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23</w:t>
            </w:r>
          </w:p>
        </w:tc>
        <w:tc>
          <w:tcPr>
            <w:tcW w:w="579" w:type="dxa"/>
            <w:vMerge w:val="restart"/>
            <w:tcBorders>
              <w:bottom w:val="single" w:color="auto" w:sz="4" w:space="0"/>
            </w:tcBorders>
            <w:shd w:val="clear" w:color="auto" w:fill="auto"/>
            <w:vAlign w:val="center"/>
          </w:tcPr>
          <w:p>
            <w:pPr>
              <w:spacing w:line="290" w:lineRule="exact"/>
              <w:jc w:val="center"/>
              <w:rPr>
                <w:rFonts w:ascii="宋体" w:hAnsi="宋体" w:cs="宋体"/>
                <w:b/>
                <w:color w:val="000000"/>
                <w:kern w:val="0"/>
                <w:sz w:val="18"/>
                <w:szCs w:val="18"/>
              </w:rPr>
            </w:pPr>
            <w:r>
              <w:rPr>
                <w:rFonts w:hint="eastAsia" w:ascii="宋体" w:hAnsi="宋体" w:cs="宋体"/>
                <w:b/>
                <w:color w:val="000000"/>
                <w:kern w:val="0"/>
                <w:sz w:val="18"/>
                <w:szCs w:val="18"/>
              </w:rPr>
              <w:t>电</w:t>
            </w:r>
          </w:p>
          <w:p>
            <w:pPr>
              <w:spacing w:line="290" w:lineRule="exact"/>
              <w:jc w:val="center"/>
              <w:rPr>
                <w:rFonts w:ascii="宋体" w:hAnsi="宋体" w:cs="宋体"/>
                <w:b/>
                <w:color w:val="000000"/>
                <w:kern w:val="0"/>
                <w:sz w:val="18"/>
                <w:szCs w:val="18"/>
              </w:rPr>
            </w:pPr>
            <w:r>
              <w:rPr>
                <w:rFonts w:hint="eastAsia" w:ascii="宋体" w:hAnsi="宋体" w:cs="宋体"/>
                <w:b/>
                <w:color w:val="000000"/>
                <w:kern w:val="0"/>
                <w:sz w:val="18"/>
                <w:szCs w:val="18"/>
              </w:rPr>
              <w:t>子</w:t>
            </w:r>
          </w:p>
          <w:p>
            <w:pPr>
              <w:spacing w:line="290" w:lineRule="exact"/>
              <w:jc w:val="center"/>
              <w:rPr>
                <w:rFonts w:ascii="宋体" w:hAnsi="宋体" w:cs="宋体"/>
                <w:b/>
                <w:color w:val="000000"/>
                <w:kern w:val="0"/>
                <w:sz w:val="18"/>
                <w:szCs w:val="18"/>
              </w:rPr>
            </w:pPr>
            <w:r>
              <w:rPr>
                <w:rFonts w:hint="eastAsia" w:ascii="宋体" w:hAnsi="宋体" w:cs="宋体"/>
                <w:b/>
                <w:color w:val="000000"/>
                <w:kern w:val="0"/>
                <w:sz w:val="18"/>
                <w:szCs w:val="18"/>
              </w:rPr>
              <w:t>信</w:t>
            </w:r>
          </w:p>
          <w:p>
            <w:pPr>
              <w:spacing w:line="290" w:lineRule="exact"/>
              <w:jc w:val="center"/>
              <w:rPr>
                <w:rFonts w:ascii="宋体" w:hAnsi="宋体" w:cs="宋体"/>
                <w:b/>
                <w:color w:val="000000"/>
                <w:kern w:val="0"/>
                <w:sz w:val="18"/>
                <w:szCs w:val="18"/>
              </w:rPr>
            </w:pPr>
            <w:r>
              <w:rPr>
                <w:rFonts w:hint="eastAsia" w:ascii="宋体" w:hAnsi="宋体" w:cs="宋体"/>
                <w:b/>
                <w:color w:val="000000"/>
                <w:kern w:val="0"/>
                <w:sz w:val="18"/>
                <w:szCs w:val="18"/>
              </w:rPr>
              <w:t>息</w:t>
            </w:r>
          </w:p>
          <w:p>
            <w:pPr>
              <w:spacing w:line="290" w:lineRule="exact"/>
              <w:jc w:val="center"/>
              <w:rPr>
                <w:rFonts w:ascii="宋体" w:hAnsi="宋体" w:cs="宋体"/>
                <w:b/>
                <w:color w:val="000000"/>
                <w:kern w:val="0"/>
                <w:sz w:val="18"/>
                <w:szCs w:val="18"/>
              </w:rPr>
            </w:pPr>
            <w:r>
              <w:rPr>
                <w:rFonts w:hint="eastAsia" w:ascii="宋体" w:hAnsi="宋体" w:cs="宋体"/>
                <w:b/>
                <w:color w:val="000000"/>
                <w:kern w:val="0"/>
                <w:sz w:val="18"/>
                <w:szCs w:val="18"/>
              </w:rPr>
              <w:t>工</w:t>
            </w:r>
          </w:p>
          <w:p>
            <w:pPr>
              <w:spacing w:line="290" w:lineRule="exact"/>
              <w:jc w:val="center"/>
              <w:rPr>
                <w:rFonts w:ascii="宋体" w:hAnsi="宋体" w:cs="宋体"/>
                <w:b/>
                <w:color w:val="000000"/>
                <w:kern w:val="0"/>
                <w:sz w:val="18"/>
                <w:szCs w:val="18"/>
              </w:rPr>
            </w:pPr>
            <w:r>
              <w:rPr>
                <w:rFonts w:hint="eastAsia" w:ascii="宋体" w:hAnsi="宋体" w:cs="宋体"/>
                <w:b/>
                <w:color w:val="000000"/>
                <w:kern w:val="0"/>
                <w:sz w:val="18"/>
                <w:szCs w:val="18"/>
              </w:rPr>
              <w:t>程</w:t>
            </w:r>
          </w:p>
          <w:p>
            <w:pPr>
              <w:spacing w:line="290" w:lineRule="exact"/>
              <w:jc w:val="center"/>
              <w:rPr>
                <w:rFonts w:ascii="宋体" w:hAnsi="宋体" w:cs="宋体"/>
                <w:b/>
                <w:color w:val="000000"/>
                <w:kern w:val="0"/>
                <w:sz w:val="18"/>
                <w:szCs w:val="18"/>
              </w:rPr>
            </w:pPr>
            <w:r>
              <w:rPr>
                <w:rFonts w:hint="eastAsia" w:ascii="宋体" w:hAnsi="宋体" w:cs="宋体"/>
                <w:b/>
                <w:color w:val="000000"/>
                <w:kern w:val="0"/>
                <w:sz w:val="18"/>
                <w:szCs w:val="18"/>
              </w:rPr>
              <w:t>系</w:t>
            </w:r>
          </w:p>
        </w:tc>
        <w:tc>
          <w:tcPr>
            <w:tcW w:w="1918" w:type="dxa"/>
            <w:tcBorders>
              <w:bottom w:val="single" w:color="auto" w:sz="4" w:space="0"/>
            </w:tcBorders>
            <w:shd w:val="clear" w:color="auto" w:fill="auto"/>
            <w:vAlign w:val="center"/>
          </w:tcPr>
          <w:p>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电气自动化技术</w:t>
            </w:r>
          </w:p>
        </w:tc>
        <w:tc>
          <w:tcPr>
            <w:tcW w:w="986" w:type="dxa"/>
            <w:tcBorders>
              <w:bottom w:val="single" w:color="auto" w:sz="4" w:space="0"/>
            </w:tcBorders>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153</w:t>
            </w:r>
          </w:p>
        </w:tc>
        <w:tc>
          <w:tcPr>
            <w:tcW w:w="964" w:type="dxa"/>
            <w:tcBorders>
              <w:bottom w:val="single" w:color="auto" w:sz="4" w:space="0"/>
            </w:tcBorders>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141</w:t>
            </w:r>
          </w:p>
        </w:tc>
        <w:tc>
          <w:tcPr>
            <w:tcW w:w="868" w:type="dxa"/>
            <w:tcBorders>
              <w:bottom w:val="single" w:color="auto" w:sz="4" w:space="0"/>
            </w:tcBorders>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12</w:t>
            </w:r>
          </w:p>
        </w:tc>
        <w:tc>
          <w:tcPr>
            <w:tcW w:w="878" w:type="dxa"/>
            <w:tcBorders>
              <w:bottom w:val="single" w:color="auto" w:sz="4" w:space="0"/>
            </w:tcBorders>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91</w:t>
            </w:r>
          </w:p>
        </w:tc>
        <w:tc>
          <w:tcPr>
            <w:tcW w:w="793" w:type="dxa"/>
            <w:tcBorders>
              <w:bottom w:val="single" w:color="auto" w:sz="4" w:space="0"/>
            </w:tcBorders>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62</w:t>
            </w:r>
          </w:p>
        </w:tc>
        <w:tc>
          <w:tcPr>
            <w:tcW w:w="857" w:type="dxa"/>
            <w:tcBorders>
              <w:bottom w:val="single" w:color="auto" w:sz="4" w:space="0"/>
            </w:tcBorders>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139</w:t>
            </w:r>
          </w:p>
        </w:tc>
        <w:tc>
          <w:tcPr>
            <w:tcW w:w="732" w:type="dxa"/>
            <w:tcBorders>
              <w:bottom w:val="single" w:color="auto" w:sz="4" w:space="0"/>
            </w:tcBorders>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463" w:type="dxa"/>
            <w:shd w:val="clear" w:color="000000" w:fill="FFFFFF" w:themeFill="background1"/>
            <w:vAlign w:val="center"/>
          </w:tcPr>
          <w:p>
            <w:pPr>
              <w:widowControl/>
              <w:jc w:val="center"/>
              <w:rPr>
                <w:rFonts w:ascii="Times New Roman" w:hAnsi="Times New Roman"/>
                <w:b/>
                <w:bCs/>
                <w:color w:val="000000"/>
                <w:kern w:val="0"/>
                <w:szCs w:val="21"/>
              </w:rPr>
            </w:pPr>
            <w:r>
              <w:rPr>
                <w:rFonts w:ascii="Times New Roman" w:hAnsi="Times New Roman"/>
                <w:b/>
                <w:bCs/>
                <w:color w:val="000000"/>
                <w:kern w:val="0"/>
                <w:szCs w:val="21"/>
              </w:rPr>
              <w:t>24</w:t>
            </w:r>
          </w:p>
        </w:tc>
        <w:tc>
          <w:tcPr>
            <w:tcW w:w="579" w:type="dxa"/>
            <w:vMerge w:val="continue"/>
            <w:shd w:val="clear" w:color="000000" w:fill="FFFFFF" w:themeFill="background1"/>
            <w:vAlign w:val="center"/>
          </w:tcPr>
          <w:p>
            <w:pPr>
              <w:jc w:val="center"/>
              <w:rPr>
                <w:rFonts w:ascii="宋体" w:hAnsi="宋体" w:cs="宋体"/>
                <w:b/>
                <w:bCs/>
                <w:color w:val="000000"/>
                <w:kern w:val="0"/>
                <w:sz w:val="18"/>
                <w:szCs w:val="18"/>
              </w:rPr>
            </w:pPr>
          </w:p>
        </w:tc>
        <w:tc>
          <w:tcPr>
            <w:tcW w:w="1918" w:type="dxa"/>
            <w:shd w:val="clear" w:color="000000" w:fill="FFFFFF" w:themeFill="background1"/>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电子商务</w:t>
            </w:r>
          </w:p>
        </w:tc>
        <w:tc>
          <w:tcPr>
            <w:tcW w:w="986" w:type="dxa"/>
            <w:shd w:val="clear" w:color="000000" w:fill="FFFFFF" w:themeFill="background1"/>
            <w:vAlign w:val="center"/>
          </w:tcPr>
          <w:p>
            <w:pPr>
              <w:widowControl/>
              <w:jc w:val="center"/>
              <w:rPr>
                <w:rFonts w:ascii="Times New Roman" w:hAnsi="Times New Roman"/>
                <w:b/>
                <w:bCs/>
                <w:color w:val="000000"/>
                <w:kern w:val="0"/>
                <w:szCs w:val="21"/>
              </w:rPr>
            </w:pPr>
            <w:r>
              <w:rPr>
                <w:rFonts w:ascii="Times New Roman" w:hAnsi="Times New Roman"/>
                <w:b/>
                <w:bCs/>
                <w:color w:val="000000"/>
                <w:kern w:val="0"/>
                <w:szCs w:val="21"/>
              </w:rPr>
              <w:t>51</w:t>
            </w:r>
          </w:p>
        </w:tc>
        <w:tc>
          <w:tcPr>
            <w:tcW w:w="964" w:type="dxa"/>
            <w:shd w:val="clear" w:color="000000" w:fill="FFFFFF" w:themeFill="background1"/>
            <w:vAlign w:val="center"/>
          </w:tcPr>
          <w:p>
            <w:pPr>
              <w:widowControl/>
              <w:jc w:val="center"/>
              <w:rPr>
                <w:rFonts w:ascii="Times New Roman" w:hAnsi="Times New Roman"/>
                <w:b/>
                <w:bCs/>
                <w:color w:val="000000"/>
                <w:kern w:val="0"/>
                <w:szCs w:val="21"/>
              </w:rPr>
            </w:pPr>
            <w:r>
              <w:rPr>
                <w:rFonts w:ascii="Times New Roman" w:hAnsi="Times New Roman"/>
                <w:b/>
                <w:bCs/>
                <w:color w:val="000000"/>
                <w:kern w:val="0"/>
                <w:szCs w:val="21"/>
              </w:rPr>
              <w:t>51</w:t>
            </w:r>
          </w:p>
        </w:tc>
        <w:tc>
          <w:tcPr>
            <w:tcW w:w="868" w:type="dxa"/>
            <w:shd w:val="clear" w:color="000000" w:fill="FFFFFF" w:themeFill="background1"/>
            <w:vAlign w:val="center"/>
          </w:tcPr>
          <w:p>
            <w:pPr>
              <w:widowControl/>
              <w:jc w:val="center"/>
              <w:rPr>
                <w:rFonts w:ascii="Times New Roman" w:hAnsi="Times New Roman"/>
                <w:b/>
                <w:bCs/>
                <w:color w:val="000000"/>
                <w:kern w:val="0"/>
                <w:szCs w:val="21"/>
              </w:rPr>
            </w:pPr>
            <w:r>
              <w:rPr>
                <w:rFonts w:ascii="Times New Roman" w:hAnsi="Times New Roman"/>
                <w:b/>
                <w:bCs/>
                <w:color w:val="000000"/>
                <w:kern w:val="0"/>
                <w:szCs w:val="21"/>
              </w:rPr>
              <w:t>0</w:t>
            </w:r>
          </w:p>
        </w:tc>
        <w:tc>
          <w:tcPr>
            <w:tcW w:w="878" w:type="dxa"/>
            <w:shd w:val="clear" w:color="000000" w:fill="FFFFFF" w:themeFill="background1"/>
            <w:vAlign w:val="center"/>
          </w:tcPr>
          <w:p>
            <w:pPr>
              <w:widowControl/>
              <w:jc w:val="center"/>
              <w:rPr>
                <w:rFonts w:ascii="Times New Roman" w:hAnsi="Times New Roman"/>
                <w:b/>
                <w:bCs/>
                <w:color w:val="000000"/>
                <w:kern w:val="0"/>
                <w:szCs w:val="21"/>
              </w:rPr>
            </w:pPr>
            <w:r>
              <w:rPr>
                <w:rFonts w:ascii="Times New Roman" w:hAnsi="Times New Roman"/>
                <w:b/>
                <w:bCs/>
                <w:color w:val="000000"/>
                <w:kern w:val="0"/>
                <w:szCs w:val="21"/>
              </w:rPr>
              <w:t>14</w:t>
            </w:r>
          </w:p>
        </w:tc>
        <w:tc>
          <w:tcPr>
            <w:tcW w:w="793" w:type="dxa"/>
            <w:shd w:val="clear" w:color="000000" w:fill="55FA1A"/>
            <w:vAlign w:val="center"/>
          </w:tcPr>
          <w:p>
            <w:pPr>
              <w:widowControl/>
              <w:jc w:val="center"/>
              <w:rPr>
                <w:rFonts w:ascii="Times New Roman" w:hAnsi="Times New Roman"/>
                <w:b/>
                <w:bCs/>
                <w:color w:val="000000" w:themeColor="text1"/>
                <w:kern w:val="0"/>
                <w:szCs w:val="21"/>
                <w:highlight w:val="green"/>
                <w14:textFill>
                  <w14:solidFill>
                    <w14:schemeClr w14:val="tx1"/>
                  </w14:solidFill>
                </w14:textFill>
              </w:rPr>
            </w:pPr>
            <w:r>
              <w:rPr>
                <w:rFonts w:ascii="Times New Roman" w:hAnsi="Times New Roman"/>
                <w:b/>
                <w:bCs/>
                <w:color w:val="000000" w:themeColor="text1"/>
                <w:kern w:val="0"/>
                <w:szCs w:val="21"/>
                <w14:textFill>
                  <w14:solidFill>
                    <w14:schemeClr w14:val="tx1"/>
                  </w14:solidFill>
                </w14:textFill>
              </w:rPr>
              <w:t>37</w:t>
            </w:r>
          </w:p>
        </w:tc>
        <w:tc>
          <w:tcPr>
            <w:tcW w:w="857" w:type="dxa"/>
            <w:shd w:val="clear" w:color="000000" w:fill="FFFFFF" w:themeFill="background1"/>
            <w:vAlign w:val="center"/>
          </w:tcPr>
          <w:p>
            <w:pPr>
              <w:widowControl/>
              <w:jc w:val="center"/>
              <w:rPr>
                <w:rFonts w:ascii="Times New Roman" w:hAnsi="Times New Roman"/>
                <w:b/>
                <w:bCs/>
                <w:color w:val="000000"/>
                <w:kern w:val="0"/>
                <w:szCs w:val="21"/>
              </w:rPr>
            </w:pPr>
            <w:r>
              <w:rPr>
                <w:rFonts w:ascii="Times New Roman" w:hAnsi="Times New Roman"/>
                <w:b/>
                <w:bCs/>
                <w:color w:val="000000"/>
                <w:kern w:val="0"/>
                <w:szCs w:val="21"/>
              </w:rPr>
              <w:t>44</w:t>
            </w:r>
          </w:p>
        </w:tc>
        <w:tc>
          <w:tcPr>
            <w:tcW w:w="732" w:type="dxa"/>
            <w:shd w:val="clear" w:color="000000" w:fill="FFFFFF" w:themeFill="background1"/>
            <w:vAlign w:val="center"/>
          </w:tcPr>
          <w:p>
            <w:pPr>
              <w:widowControl/>
              <w:jc w:val="center"/>
              <w:rPr>
                <w:rFonts w:ascii="Times New Roman" w:hAnsi="Times New Roman"/>
                <w:b/>
                <w:bCs/>
                <w:color w:val="000000"/>
                <w:kern w:val="0"/>
                <w:szCs w:val="21"/>
              </w:rPr>
            </w:pPr>
            <w:r>
              <w:rPr>
                <w:rFonts w:ascii="Times New Roman" w:hAnsi="Times New Roman"/>
                <w:b/>
                <w:bCs/>
                <w:color w:val="000000"/>
                <w:kern w:val="0"/>
                <w:szCs w:val="21"/>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463" w:type="dxa"/>
            <w:shd w:val="clear" w:color="000000" w:fill="FFFFFF" w:themeFill="background1"/>
            <w:vAlign w:val="center"/>
          </w:tcPr>
          <w:p>
            <w:pPr>
              <w:widowControl/>
              <w:jc w:val="center"/>
              <w:rPr>
                <w:rFonts w:ascii="Times New Roman" w:hAnsi="Times New Roman"/>
                <w:b/>
                <w:bCs/>
                <w:color w:val="000000"/>
                <w:kern w:val="0"/>
                <w:szCs w:val="21"/>
              </w:rPr>
            </w:pPr>
            <w:r>
              <w:rPr>
                <w:rFonts w:ascii="Times New Roman" w:hAnsi="Times New Roman"/>
                <w:b/>
                <w:bCs/>
                <w:color w:val="000000"/>
                <w:kern w:val="0"/>
                <w:szCs w:val="21"/>
              </w:rPr>
              <w:t>25</w:t>
            </w:r>
          </w:p>
        </w:tc>
        <w:tc>
          <w:tcPr>
            <w:tcW w:w="579" w:type="dxa"/>
            <w:vMerge w:val="continue"/>
            <w:shd w:val="clear" w:color="000000" w:fill="FFFFFF" w:themeFill="background1"/>
            <w:vAlign w:val="center"/>
          </w:tcPr>
          <w:p>
            <w:pPr>
              <w:jc w:val="center"/>
              <w:rPr>
                <w:rFonts w:ascii="宋体" w:hAnsi="宋体" w:cs="宋体"/>
                <w:b/>
                <w:bCs/>
                <w:color w:val="000000"/>
                <w:kern w:val="0"/>
                <w:sz w:val="18"/>
                <w:szCs w:val="18"/>
              </w:rPr>
            </w:pPr>
          </w:p>
        </w:tc>
        <w:tc>
          <w:tcPr>
            <w:tcW w:w="1918" w:type="dxa"/>
            <w:shd w:val="clear" w:color="000000" w:fill="FFFFFF" w:themeFill="background1"/>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电子信息工程技术</w:t>
            </w:r>
          </w:p>
        </w:tc>
        <w:tc>
          <w:tcPr>
            <w:tcW w:w="986" w:type="dxa"/>
            <w:shd w:val="clear" w:color="000000" w:fill="FFFFFF" w:themeFill="background1"/>
            <w:vAlign w:val="center"/>
          </w:tcPr>
          <w:p>
            <w:pPr>
              <w:widowControl/>
              <w:jc w:val="center"/>
              <w:rPr>
                <w:rFonts w:ascii="Times New Roman" w:hAnsi="Times New Roman"/>
                <w:b/>
                <w:bCs/>
                <w:color w:val="000000"/>
                <w:kern w:val="0"/>
                <w:szCs w:val="21"/>
              </w:rPr>
            </w:pPr>
            <w:r>
              <w:rPr>
                <w:rFonts w:ascii="Times New Roman" w:hAnsi="Times New Roman"/>
                <w:b/>
                <w:bCs/>
                <w:color w:val="000000"/>
                <w:kern w:val="0"/>
                <w:szCs w:val="21"/>
              </w:rPr>
              <w:t>68</w:t>
            </w:r>
          </w:p>
        </w:tc>
        <w:tc>
          <w:tcPr>
            <w:tcW w:w="964" w:type="dxa"/>
            <w:shd w:val="clear" w:color="000000" w:fill="FFFFFF" w:themeFill="background1"/>
            <w:vAlign w:val="center"/>
          </w:tcPr>
          <w:p>
            <w:pPr>
              <w:widowControl/>
              <w:jc w:val="center"/>
              <w:rPr>
                <w:rFonts w:ascii="Times New Roman" w:hAnsi="Times New Roman"/>
                <w:b/>
                <w:bCs/>
                <w:color w:val="000000"/>
                <w:kern w:val="0"/>
                <w:szCs w:val="21"/>
              </w:rPr>
            </w:pPr>
            <w:r>
              <w:rPr>
                <w:rFonts w:ascii="Times New Roman" w:hAnsi="Times New Roman"/>
                <w:b/>
                <w:bCs/>
                <w:color w:val="000000"/>
                <w:kern w:val="0"/>
                <w:szCs w:val="21"/>
              </w:rPr>
              <w:t>38</w:t>
            </w:r>
          </w:p>
        </w:tc>
        <w:tc>
          <w:tcPr>
            <w:tcW w:w="868" w:type="dxa"/>
            <w:shd w:val="clear" w:color="000000" w:fill="FFFFFF" w:themeFill="background1"/>
            <w:vAlign w:val="center"/>
          </w:tcPr>
          <w:p>
            <w:pPr>
              <w:widowControl/>
              <w:jc w:val="center"/>
              <w:rPr>
                <w:rFonts w:ascii="Times New Roman" w:hAnsi="Times New Roman"/>
                <w:b/>
                <w:bCs/>
                <w:color w:val="000000"/>
                <w:kern w:val="0"/>
                <w:szCs w:val="21"/>
              </w:rPr>
            </w:pPr>
            <w:r>
              <w:rPr>
                <w:rFonts w:ascii="Times New Roman" w:hAnsi="Times New Roman"/>
                <w:b/>
                <w:bCs/>
                <w:color w:val="000000"/>
                <w:kern w:val="0"/>
                <w:szCs w:val="21"/>
              </w:rPr>
              <w:t>30</w:t>
            </w:r>
          </w:p>
        </w:tc>
        <w:tc>
          <w:tcPr>
            <w:tcW w:w="878" w:type="dxa"/>
            <w:shd w:val="clear" w:color="000000" w:fill="FFFFFF" w:themeFill="background1"/>
            <w:vAlign w:val="center"/>
          </w:tcPr>
          <w:p>
            <w:pPr>
              <w:widowControl/>
              <w:jc w:val="center"/>
              <w:rPr>
                <w:rFonts w:ascii="Times New Roman" w:hAnsi="Times New Roman"/>
                <w:b/>
                <w:bCs/>
                <w:color w:val="000000"/>
                <w:kern w:val="0"/>
                <w:szCs w:val="21"/>
              </w:rPr>
            </w:pPr>
            <w:r>
              <w:rPr>
                <w:rFonts w:ascii="Times New Roman" w:hAnsi="Times New Roman"/>
                <w:b/>
                <w:bCs/>
                <w:color w:val="000000"/>
                <w:kern w:val="0"/>
                <w:szCs w:val="21"/>
              </w:rPr>
              <w:t>28</w:t>
            </w:r>
          </w:p>
        </w:tc>
        <w:tc>
          <w:tcPr>
            <w:tcW w:w="793" w:type="dxa"/>
            <w:shd w:val="clear" w:color="000000" w:fill="55FA1A"/>
            <w:vAlign w:val="center"/>
          </w:tcPr>
          <w:p>
            <w:pPr>
              <w:widowControl/>
              <w:jc w:val="center"/>
              <w:rPr>
                <w:rFonts w:ascii="Times New Roman" w:hAnsi="Times New Roman"/>
                <w:b/>
                <w:bCs/>
                <w:color w:val="000000" w:themeColor="text1"/>
                <w:kern w:val="0"/>
                <w:szCs w:val="21"/>
                <w:highlight w:val="green"/>
                <w14:textFill>
                  <w14:solidFill>
                    <w14:schemeClr w14:val="tx1"/>
                  </w14:solidFill>
                </w14:textFill>
              </w:rPr>
            </w:pPr>
            <w:r>
              <w:rPr>
                <w:rFonts w:ascii="Times New Roman" w:hAnsi="Times New Roman"/>
                <w:b/>
                <w:bCs/>
                <w:color w:val="000000" w:themeColor="text1"/>
                <w:kern w:val="0"/>
                <w:szCs w:val="21"/>
                <w14:textFill>
                  <w14:solidFill>
                    <w14:schemeClr w14:val="tx1"/>
                  </w14:solidFill>
                </w14:textFill>
              </w:rPr>
              <w:t>40</w:t>
            </w:r>
          </w:p>
        </w:tc>
        <w:tc>
          <w:tcPr>
            <w:tcW w:w="857" w:type="dxa"/>
            <w:shd w:val="clear" w:color="000000" w:fill="FFFFFF" w:themeFill="background1"/>
            <w:vAlign w:val="center"/>
          </w:tcPr>
          <w:p>
            <w:pPr>
              <w:widowControl/>
              <w:jc w:val="center"/>
              <w:rPr>
                <w:rFonts w:ascii="Times New Roman" w:hAnsi="Times New Roman"/>
                <w:b/>
                <w:bCs/>
                <w:color w:val="000000"/>
                <w:kern w:val="0"/>
                <w:szCs w:val="21"/>
              </w:rPr>
            </w:pPr>
            <w:r>
              <w:rPr>
                <w:rFonts w:ascii="Times New Roman" w:hAnsi="Times New Roman"/>
                <w:b/>
                <w:bCs/>
                <w:color w:val="000000"/>
                <w:kern w:val="0"/>
                <w:szCs w:val="21"/>
              </w:rPr>
              <w:t>61</w:t>
            </w:r>
          </w:p>
        </w:tc>
        <w:tc>
          <w:tcPr>
            <w:tcW w:w="732" w:type="dxa"/>
            <w:shd w:val="clear" w:color="000000" w:fill="FFFFFF" w:themeFill="background1"/>
            <w:vAlign w:val="center"/>
          </w:tcPr>
          <w:p>
            <w:pPr>
              <w:widowControl/>
              <w:jc w:val="center"/>
              <w:rPr>
                <w:rFonts w:ascii="Times New Roman" w:hAnsi="Times New Roman"/>
                <w:b/>
                <w:bCs/>
                <w:color w:val="000000"/>
                <w:kern w:val="0"/>
                <w:szCs w:val="21"/>
              </w:rPr>
            </w:pPr>
            <w:r>
              <w:rPr>
                <w:rFonts w:ascii="Times New Roman" w:hAnsi="Times New Roman"/>
                <w:b/>
                <w:bCs/>
                <w:color w:val="000000"/>
                <w:kern w:val="0"/>
                <w:szCs w:val="21"/>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463"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26</w:t>
            </w:r>
          </w:p>
        </w:tc>
        <w:tc>
          <w:tcPr>
            <w:tcW w:w="579" w:type="dxa"/>
            <w:vMerge w:val="continue"/>
            <w:shd w:val="clear" w:color="auto" w:fill="auto"/>
            <w:vAlign w:val="center"/>
          </w:tcPr>
          <w:p>
            <w:pPr>
              <w:jc w:val="center"/>
              <w:rPr>
                <w:rFonts w:ascii="宋体" w:hAnsi="宋体" w:cs="宋体"/>
                <w:b/>
                <w:color w:val="000000"/>
                <w:kern w:val="0"/>
                <w:sz w:val="18"/>
                <w:szCs w:val="18"/>
              </w:rPr>
            </w:pPr>
          </w:p>
        </w:tc>
        <w:tc>
          <w:tcPr>
            <w:tcW w:w="1918" w:type="dxa"/>
            <w:shd w:val="clear" w:color="auto" w:fill="auto"/>
            <w:vAlign w:val="center"/>
          </w:tcPr>
          <w:p>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机电一体化技术</w:t>
            </w:r>
          </w:p>
        </w:tc>
        <w:tc>
          <w:tcPr>
            <w:tcW w:w="986"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76</w:t>
            </w:r>
          </w:p>
        </w:tc>
        <w:tc>
          <w:tcPr>
            <w:tcW w:w="964"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69</w:t>
            </w:r>
          </w:p>
        </w:tc>
        <w:tc>
          <w:tcPr>
            <w:tcW w:w="868"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7</w:t>
            </w:r>
          </w:p>
        </w:tc>
        <w:tc>
          <w:tcPr>
            <w:tcW w:w="878"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67</w:t>
            </w:r>
          </w:p>
        </w:tc>
        <w:tc>
          <w:tcPr>
            <w:tcW w:w="793"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9</w:t>
            </w:r>
          </w:p>
        </w:tc>
        <w:tc>
          <w:tcPr>
            <w:tcW w:w="857"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72</w:t>
            </w:r>
          </w:p>
        </w:tc>
        <w:tc>
          <w:tcPr>
            <w:tcW w:w="732"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463"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27</w:t>
            </w:r>
          </w:p>
        </w:tc>
        <w:tc>
          <w:tcPr>
            <w:tcW w:w="579" w:type="dxa"/>
            <w:vMerge w:val="continue"/>
            <w:shd w:val="clear" w:color="auto" w:fill="auto"/>
            <w:vAlign w:val="center"/>
          </w:tcPr>
          <w:p>
            <w:pPr>
              <w:jc w:val="center"/>
              <w:rPr>
                <w:rFonts w:ascii="宋体" w:hAnsi="宋体" w:cs="宋体"/>
                <w:b/>
                <w:color w:val="000000"/>
                <w:kern w:val="0"/>
                <w:sz w:val="18"/>
                <w:szCs w:val="18"/>
              </w:rPr>
            </w:pPr>
          </w:p>
        </w:tc>
        <w:tc>
          <w:tcPr>
            <w:tcW w:w="1918" w:type="dxa"/>
            <w:shd w:val="clear" w:color="auto" w:fill="auto"/>
            <w:vAlign w:val="center"/>
          </w:tcPr>
          <w:p>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计算机应用技术</w:t>
            </w:r>
          </w:p>
        </w:tc>
        <w:tc>
          <w:tcPr>
            <w:tcW w:w="986"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60</w:t>
            </w:r>
          </w:p>
        </w:tc>
        <w:tc>
          <w:tcPr>
            <w:tcW w:w="964"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38</w:t>
            </w:r>
          </w:p>
        </w:tc>
        <w:tc>
          <w:tcPr>
            <w:tcW w:w="868"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22</w:t>
            </w:r>
          </w:p>
        </w:tc>
        <w:tc>
          <w:tcPr>
            <w:tcW w:w="878"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31</w:t>
            </w:r>
          </w:p>
        </w:tc>
        <w:tc>
          <w:tcPr>
            <w:tcW w:w="793"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29</w:t>
            </w:r>
          </w:p>
        </w:tc>
        <w:tc>
          <w:tcPr>
            <w:tcW w:w="857"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41</w:t>
            </w:r>
          </w:p>
        </w:tc>
        <w:tc>
          <w:tcPr>
            <w:tcW w:w="732" w:type="dxa"/>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463" w:type="dxa"/>
            <w:tcBorders>
              <w:bottom w:val="single" w:color="auto" w:sz="4" w:space="0"/>
            </w:tcBorders>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28</w:t>
            </w:r>
          </w:p>
        </w:tc>
        <w:tc>
          <w:tcPr>
            <w:tcW w:w="579" w:type="dxa"/>
            <w:vMerge w:val="continue"/>
            <w:tcBorders>
              <w:bottom w:val="single" w:color="auto" w:sz="4" w:space="0"/>
            </w:tcBorders>
            <w:shd w:val="clear" w:color="auto" w:fill="auto"/>
            <w:vAlign w:val="center"/>
          </w:tcPr>
          <w:p>
            <w:pPr>
              <w:widowControl/>
              <w:jc w:val="center"/>
              <w:rPr>
                <w:rFonts w:ascii="宋体" w:hAnsi="宋体" w:cs="宋体"/>
                <w:b/>
                <w:color w:val="000000"/>
                <w:kern w:val="0"/>
                <w:sz w:val="18"/>
                <w:szCs w:val="18"/>
              </w:rPr>
            </w:pPr>
          </w:p>
        </w:tc>
        <w:tc>
          <w:tcPr>
            <w:tcW w:w="1918" w:type="dxa"/>
            <w:tcBorders>
              <w:bottom w:val="single" w:color="auto" w:sz="4" w:space="0"/>
            </w:tcBorders>
            <w:shd w:val="clear" w:color="auto" w:fill="auto"/>
            <w:vAlign w:val="center"/>
          </w:tcPr>
          <w:p>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农村电气化技术</w:t>
            </w:r>
          </w:p>
        </w:tc>
        <w:tc>
          <w:tcPr>
            <w:tcW w:w="986" w:type="dxa"/>
            <w:tcBorders>
              <w:bottom w:val="single" w:color="auto" w:sz="4" w:space="0"/>
            </w:tcBorders>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38</w:t>
            </w:r>
          </w:p>
        </w:tc>
        <w:tc>
          <w:tcPr>
            <w:tcW w:w="964" w:type="dxa"/>
            <w:tcBorders>
              <w:bottom w:val="single" w:color="auto" w:sz="4" w:space="0"/>
            </w:tcBorders>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38</w:t>
            </w:r>
          </w:p>
        </w:tc>
        <w:tc>
          <w:tcPr>
            <w:tcW w:w="868" w:type="dxa"/>
            <w:tcBorders>
              <w:bottom w:val="single" w:color="auto" w:sz="4" w:space="0"/>
            </w:tcBorders>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0</w:t>
            </w:r>
          </w:p>
        </w:tc>
        <w:tc>
          <w:tcPr>
            <w:tcW w:w="878" w:type="dxa"/>
            <w:tcBorders>
              <w:bottom w:val="single" w:color="auto" w:sz="4" w:space="0"/>
            </w:tcBorders>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25</w:t>
            </w:r>
          </w:p>
        </w:tc>
        <w:tc>
          <w:tcPr>
            <w:tcW w:w="793" w:type="dxa"/>
            <w:tcBorders>
              <w:bottom w:val="single" w:color="auto" w:sz="4" w:space="0"/>
            </w:tcBorders>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13</w:t>
            </w:r>
          </w:p>
        </w:tc>
        <w:tc>
          <w:tcPr>
            <w:tcW w:w="857" w:type="dxa"/>
            <w:tcBorders>
              <w:bottom w:val="single" w:color="auto" w:sz="4" w:space="0"/>
            </w:tcBorders>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33</w:t>
            </w:r>
          </w:p>
        </w:tc>
        <w:tc>
          <w:tcPr>
            <w:tcW w:w="732" w:type="dxa"/>
            <w:tcBorders>
              <w:bottom w:val="single" w:color="auto" w:sz="4" w:space="0"/>
            </w:tcBorders>
            <w:shd w:val="clear" w:color="auto" w:fill="auto"/>
            <w:vAlign w:val="center"/>
          </w:tcPr>
          <w:p>
            <w:pPr>
              <w:widowControl/>
              <w:jc w:val="center"/>
              <w:rPr>
                <w:rFonts w:ascii="Times New Roman" w:hAnsi="Times New Roman"/>
                <w:b/>
                <w:color w:val="000000"/>
                <w:kern w:val="0"/>
                <w:szCs w:val="21"/>
              </w:rPr>
            </w:pPr>
            <w:r>
              <w:rPr>
                <w:rFonts w:ascii="Times New Roman" w:hAnsi="Times New Roman"/>
                <w:b/>
                <w:color w:val="000000"/>
                <w:kern w:val="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463" w:type="dxa"/>
            <w:shd w:val="clear" w:color="000000" w:fill="FFFFFF" w:themeFill="background1"/>
            <w:vAlign w:val="center"/>
          </w:tcPr>
          <w:p>
            <w:pPr>
              <w:widowControl/>
              <w:jc w:val="center"/>
              <w:rPr>
                <w:rFonts w:ascii="Times New Roman" w:hAnsi="Times New Roman"/>
                <w:b/>
                <w:bCs/>
                <w:color w:val="000000"/>
                <w:kern w:val="0"/>
                <w:szCs w:val="21"/>
              </w:rPr>
            </w:pPr>
            <w:r>
              <w:rPr>
                <w:rFonts w:ascii="Times New Roman" w:hAnsi="Times New Roman"/>
                <w:b/>
                <w:bCs/>
                <w:color w:val="000000"/>
                <w:kern w:val="0"/>
                <w:szCs w:val="21"/>
              </w:rPr>
              <w:t>29</w:t>
            </w:r>
          </w:p>
        </w:tc>
        <w:tc>
          <w:tcPr>
            <w:tcW w:w="579" w:type="dxa"/>
            <w:vMerge w:val="restart"/>
            <w:shd w:val="clear" w:color="000000" w:fill="FFFFFF" w:themeFill="background1"/>
            <w:vAlign w:val="center"/>
          </w:tcPr>
          <w:p>
            <w:pPr>
              <w:jc w:val="center"/>
              <w:rPr>
                <w:rFonts w:ascii="宋体" w:hAnsi="宋体" w:cs="宋体"/>
                <w:b/>
                <w:color w:val="000000"/>
                <w:kern w:val="0"/>
                <w:sz w:val="18"/>
                <w:szCs w:val="18"/>
              </w:rPr>
            </w:pPr>
            <w:r>
              <w:rPr>
                <w:rFonts w:hint="eastAsia" w:ascii="宋体" w:hAnsi="宋体" w:cs="宋体"/>
                <w:b/>
                <w:color w:val="000000"/>
                <w:kern w:val="0"/>
                <w:sz w:val="18"/>
                <w:szCs w:val="18"/>
              </w:rPr>
              <w:t>食</w:t>
            </w:r>
          </w:p>
          <w:p>
            <w:pPr>
              <w:jc w:val="center"/>
              <w:rPr>
                <w:rFonts w:ascii="宋体" w:hAnsi="宋体" w:cs="宋体"/>
                <w:b/>
                <w:color w:val="000000"/>
                <w:kern w:val="0"/>
                <w:sz w:val="18"/>
                <w:szCs w:val="18"/>
              </w:rPr>
            </w:pPr>
            <w:r>
              <w:rPr>
                <w:rFonts w:hint="eastAsia" w:ascii="宋体" w:hAnsi="宋体" w:cs="宋体"/>
                <w:b/>
                <w:color w:val="000000"/>
                <w:kern w:val="0"/>
                <w:sz w:val="18"/>
                <w:szCs w:val="18"/>
              </w:rPr>
              <w:t>品</w:t>
            </w:r>
          </w:p>
          <w:p>
            <w:pPr>
              <w:jc w:val="center"/>
              <w:rPr>
                <w:rFonts w:ascii="宋体" w:hAnsi="宋体" w:cs="宋体"/>
                <w:b/>
                <w:color w:val="000000"/>
                <w:kern w:val="0"/>
                <w:sz w:val="18"/>
                <w:szCs w:val="18"/>
              </w:rPr>
            </w:pPr>
            <w:r>
              <w:rPr>
                <w:rFonts w:hint="eastAsia" w:ascii="宋体" w:hAnsi="宋体" w:cs="宋体"/>
                <w:b/>
                <w:color w:val="000000"/>
                <w:kern w:val="0"/>
                <w:sz w:val="18"/>
                <w:szCs w:val="18"/>
              </w:rPr>
              <w:t>科</w:t>
            </w:r>
          </w:p>
          <w:p>
            <w:pPr>
              <w:jc w:val="center"/>
              <w:rPr>
                <w:rFonts w:ascii="宋体" w:hAnsi="宋体" w:cs="宋体"/>
                <w:b/>
                <w:color w:val="000000"/>
                <w:kern w:val="0"/>
                <w:sz w:val="18"/>
                <w:szCs w:val="18"/>
              </w:rPr>
            </w:pPr>
            <w:r>
              <w:rPr>
                <w:rFonts w:hint="eastAsia" w:ascii="宋体" w:hAnsi="宋体" w:cs="宋体"/>
                <w:b/>
                <w:color w:val="000000"/>
                <w:kern w:val="0"/>
                <w:sz w:val="18"/>
                <w:szCs w:val="18"/>
              </w:rPr>
              <w:t>学</w:t>
            </w:r>
          </w:p>
          <w:p>
            <w:pPr>
              <w:jc w:val="center"/>
              <w:rPr>
                <w:rFonts w:ascii="宋体" w:hAnsi="宋体" w:cs="宋体"/>
                <w:b/>
                <w:bCs/>
                <w:color w:val="000000"/>
                <w:kern w:val="0"/>
                <w:sz w:val="18"/>
                <w:szCs w:val="18"/>
              </w:rPr>
            </w:pPr>
            <w:r>
              <w:rPr>
                <w:rFonts w:hint="eastAsia" w:ascii="宋体" w:hAnsi="宋体" w:cs="宋体"/>
                <w:b/>
                <w:color w:val="000000"/>
                <w:kern w:val="0"/>
                <w:sz w:val="18"/>
                <w:szCs w:val="18"/>
              </w:rPr>
              <w:t>系</w:t>
            </w:r>
          </w:p>
        </w:tc>
        <w:tc>
          <w:tcPr>
            <w:tcW w:w="1918" w:type="dxa"/>
            <w:shd w:val="clear" w:color="000000" w:fill="FFFFFF" w:themeFill="background1"/>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农产品质量检测</w:t>
            </w:r>
          </w:p>
        </w:tc>
        <w:tc>
          <w:tcPr>
            <w:tcW w:w="986" w:type="dxa"/>
            <w:shd w:val="clear" w:color="000000" w:fill="FFFFFF" w:themeFill="background1"/>
            <w:vAlign w:val="center"/>
          </w:tcPr>
          <w:p>
            <w:pPr>
              <w:widowControl/>
              <w:jc w:val="center"/>
              <w:rPr>
                <w:rFonts w:ascii="Times New Roman" w:hAnsi="Times New Roman"/>
                <w:b/>
                <w:bCs/>
                <w:color w:val="000000"/>
                <w:kern w:val="0"/>
                <w:szCs w:val="21"/>
              </w:rPr>
            </w:pPr>
            <w:r>
              <w:rPr>
                <w:rFonts w:ascii="Times New Roman" w:hAnsi="Times New Roman"/>
                <w:b/>
                <w:bCs/>
                <w:color w:val="000000"/>
                <w:kern w:val="0"/>
                <w:szCs w:val="21"/>
              </w:rPr>
              <w:t>121</w:t>
            </w:r>
          </w:p>
        </w:tc>
        <w:tc>
          <w:tcPr>
            <w:tcW w:w="964" w:type="dxa"/>
            <w:shd w:val="clear" w:color="000000" w:fill="FFFFFF" w:themeFill="background1"/>
            <w:vAlign w:val="center"/>
          </w:tcPr>
          <w:p>
            <w:pPr>
              <w:widowControl/>
              <w:jc w:val="center"/>
              <w:rPr>
                <w:rFonts w:ascii="Times New Roman" w:hAnsi="Times New Roman"/>
                <w:b/>
                <w:bCs/>
                <w:color w:val="000000"/>
                <w:kern w:val="0"/>
                <w:szCs w:val="21"/>
              </w:rPr>
            </w:pPr>
            <w:r>
              <w:rPr>
                <w:rFonts w:ascii="Times New Roman" w:hAnsi="Times New Roman"/>
                <w:b/>
                <w:bCs/>
                <w:color w:val="000000"/>
                <w:kern w:val="0"/>
                <w:szCs w:val="21"/>
              </w:rPr>
              <w:t>107</w:t>
            </w:r>
          </w:p>
        </w:tc>
        <w:tc>
          <w:tcPr>
            <w:tcW w:w="868" w:type="dxa"/>
            <w:shd w:val="clear" w:color="000000" w:fill="FFFFFF" w:themeFill="background1"/>
            <w:vAlign w:val="center"/>
          </w:tcPr>
          <w:p>
            <w:pPr>
              <w:widowControl/>
              <w:jc w:val="center"/>
              <w:rPr>
                <w:rFonts w:ascii="Times New Roman" w:hAnsi="Times New Roman"/>
                <w:b/>
                <w:bCs/>
                <w:color w:val="000000"/>
                <w:kern w:val="0"/>
                <w:szCs w:val="21"/>
              </w:rPr>
            </w:pPr>
            <w:r>
              <w:rPr>
                <w:rFonts w:ascii="Times New Roman" w:hAnsi="Times New Roman"/>
                <w:b/>
                <w:bCs/>
                <w:color w:val="000000"/>
                <w:kern w:val="0"/>
                <w:szCs w:val="21"/>
              </w:rPr>
              <w:t>14</w:t>
            </w:r>
          </w:p>
        </w:tc>
        <w:tc>
          <w:tcPr>
            <w:tcW w:w="878" w:type="dxa"/>
            <w:shd w:val="clear" w:color="000000" w:fill="FFFFFF" w:themeFill="background1"/>
            <w:vAlign w:val="center"/>
          </w:tcPr>
          <w:p>
            <w:pPr>
              <w:widowControl/>
              <w:jc w:val="center"/>
              <w:rPr>
                <w:rFonts w:ascii="Times New Roman" w:hAnsi="Times New Roman"/>
                <w:b/>
                <w:bCs/>
                <w:color w:val="000000"/>
                <w:kern w:val="0"/>
                <w:szCs w:val="21"/>
              </w:rPr>
            </w:pPr>
            <w:r>
              <w:rPr>
                <w:rFonts w:ascii="Times New Roman" w:hAnsi="Times New Roman"/>
                <w:b/>
                <w:bCs/>
                <w:color w:val="000000"/>
                <w:kern w:val="0"/>
                <w:szCs w:val="21"/>
              </w:rPr>
              <w:t>49</w:t>
            </w:r>
          </w:p>
        </w:tc>
        <w:tc>
          <w:tcPr>
            <w:tcW w:w="793" w:type="dxa"/>
            <w:shd w:val="clear" w:color="000000" w:fill="55FA1A"/>
            <w:vAlign w:val="center"/>
          </w:tcPr>
          <w:p>
            <w:pPr>
              <w:widowControl/>
              <w:jc w:val="center"/>
              <w:rPr>
                <w:rFonts w:ascii="Times New Roman" w:hAnsi="Times New Roman"/>
                <w:b/>
                <w:bCs/>
                <w:color w:val="000000" w:themeColor="text1"/>
                <w:kern w:val="0"/>
                <w:szCs w:val="21"/>
                <w:highlight w:val="green"/>
                <w14:textFill>
                  <w14:solidFill>
                    <w14:schemeClr w14:val="tx1"/>
                  </w14:solidFill>
                </w14:textFill>
              </w:rPr>
            </w:pPr>
            <w:r>
              <w:rPr>
                <w:rFonts w:ascii="Times New Roman" w:hAnsi="Times New Roman"/>
                <w:b/>
                <w:bCs/>
                <w:color w:val="000000" w:themeColor="text1"/>
                <w:kern w:val="0"/>
                <w:szCs w:val="21"/>
                <w14:textFill>
                  <w14:solidFill>
                    <w14:schemeClr w14:val="tx1"/>
                  </w14:solidFill>
                </w14:textFill>
              </w:rPr>
              <w:t>72</w:t>
            </w:r>
          </w:p>
        </w:tc>
        <w:tc>
          <w:tcPr>
            <w:tcW w:w="857" w:type="dxa"/>
            <w:shd w:val="clear" w:color="000000" w:fill="FFFFFF" w:themeFill="background1"/>
            <w:vAlign w:val="center"/>
          </w:tcPr>
          <w:p>
            <w:pPr>
              <w:widowControl/>
              <w:jc w:val="center"/>
              <w:rPr>
                <w:rFonts w:ascii="Times New Roman" w:hAnsi="Times New Roman"/>
                <w:b/>
                <w:bCs/>
                <w:color w:val="000000"/>
                <w:kern w:val="0"/>
                <w:szCs w:val="21"/>
              </w:rPr>
            </w:pPr>
            <w:r>
              <w:rPr>
                <w:rFonts w:ascii="Times New Roman" w:hAnsi="Times New Roman"/>
                <w:b/>
                <w:bCs/>
                <w:color w:val="000000"/>
                <w:kern w:val="0"/>
                <w:szCs w:val="21"/>
              </w:rPr>
              <w:t>105</w:t>
            </w:r>
          </w:p>
        </w:tc>
        <w:tc>
          <w:tcPr>
            <w:tcW w:w="732" w:type="dxa"/>
            <w:shd w:val="clear" w:color="000000" w:fill="FFFFFF" w:themeFill="background1"/>
            <w:vAlign w:val="center"/>
          </w:tcPr>
          <w:p>
            <w:pPr>
              <w:widowControl/>
              <w:jc w:val="center"/>
              <w:rPr>
                <w:rFonts w:ascii="Times New Roman" w:hAnsi="Times New Roman"/>
                <w:b/>
                <w:bCs/>
                <w:color w:val="000000"/>
                <w:kern w:val="0"/>
                <w:szCs w:val="21"/>
              </w:rPr>
            </w:pPr>
            <w:r>
              <w:rPr>
                <w:rFonts w:ascii="Times New Roman" w:hAnsi="Times New Roman"/>
                <w:b/>
                <w:bCs/>
                <w:color w:val="000000"/>
                <w:kern w:val="0"/>
                <w:szCs w:val="21"/>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463" w:type="dxa"/>
            <w:shd w:val="clear" w:color="000000" w:fill="FFFFFF" w:themeFill="background1"/>
            <w:vAlign w:val="center"/>
          </w:tcPr>
          <w:p>
            <w:pPr>
              <w:widowControl/>
              <w:jc w:val="center"/>
              <w:rPr>
                <w:rFonts w:ascii="Times New Roman" w:hAnsi="Times New Roman"/>
                <w:b/>
                <w:bCs/>
                <w:color w:val="000000"/>
                <w:kern w:val="0"/>
                <w:szCs w:val="21"/>
              </w:rPr>
            </w:pPr>
            <w:r>
              <w:rPr>
                <w:rFonts w:ascii="Times New Roman" w:hAnsi="Times New Roman"/>
                <w:b/>
                <w:bCs/>
                <w:color w:val="000000"/>
                <w:kern w:val="0"/>
                <w:szCs w:val="21"/>
              </w:rPr>
              <w:t>30</w:t>
            </w:r>
          </w:p>
        </w:tc>
        <w:tc>
          <w:tcPr>
            <w:tcW w:w="579" w:type="dxa"/>
            <w:vMerge w:val="continue"/>
            <w:shd w:val="clear" w:color="000000" w:fill="FFFFFF" w:themeFill="background1"/>
            <w:vAlign w:val="center"/>
          </w:tcPr>
          <w:p>
            <w:pPr>
              <w:jc w:val="center"/>
              <w:rPr>
                <w:rFonts w:ascii="宋体" w:hAnsi="宋体" w:cs="宋体"/>
                <w:b/>
                <w:bCs/>
                <w:color w:val="000000"/>
                <w:kern w:val="0"/>
                <w:sz w:val="18"/>
                <w:szCs w:val="18"/>
              </w:rPr>
            </w:pPr>
          </w:p>
        </w:tc>
        <w:tc>
          <w:tcPr>
            <w:tcW w:w="1918" w:type="dxa"/>
            <w:shd w:val="clear" w:color="000000" w:fill="FFFFFF" w:themeFill="background1"/>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葡萄与葡萄酒工程</w:t>
            </w:r>
          </w:p>
        </w:tc>
        <w:tc>
          <w:tcPr>
            <w:tcW w:w="986" w:type="dxa"/>
            <w:shd w:val="clear" w:color="000000" w:fill="FFFFFF" w:themeFill="background1"/>
            <w:vAlign w:val="center"/>
          </w:tcPr>
          <w:p>
            <w:pPr>
              <w:widowControl/>
              <w:jc w:val="center"/>
              <w:rPr>
                <w:rFonts w:ascii="Times New Roman" w:hAnsi="Times New Roman"/>
                <w:b/>
                <w:bCs/>
                <w:color w:val="000000"/>
                <w:kern w:val="0"/>
                <w:szCs w:val="21"/>
              </w:rPr>
            </w:pPr>
            <w:r>
              <w:rPr>
                <w:rFonts w:ascii="Times New Roman" w:hAnsi="Times New Roman"/>
                <w:b/>
                <w:bCs/>
                <w:color w:val="000000"/>
                <w:kern w:val="0"/>
                <w:szCs w:val="21"/>
              </w:rPr>
              <w:t>52</w:t>
            </w:r>
          </w:p>
        </w:tc>
        <w:tc>
          <w:tcPr>
            <w:tcW w:w="964" w:type="dxa"/>
            <w:shd w:val="clear" w:color="000000" w:fill="FFFFFF" w:themeFill="background1"/>
            <w:vAlign w:val="center"/>
          </w:tcPr>
          <w:p>
            <w:pPr>
              <w:widowControl/>
              <w:jc w:val="center"/>
              <w:rPr>
                <w:rFonts w:ascii="Times New Roman" w:hAnsi="Times New Roman"/>
                <w:b/>
                <w:bCs/>
                <w:color w:val="000000"/>
                <w:kern w:val="0"/>
                <w:szCs w:val="21"/>
              </w:rPr>
            </w:pPr>
            <w:r>
              <w:rPr>
                <w:rFonts w:ascii="Times New Roman" w:hAnsi="Times New Roman"/>
                <w:b/>
                <w:bCs/>
                <w:color w:val="000000"/>
                <w:kern w:val="0"/>
                <w:szCs w:val="21"/>
              </w:rPr>
              <w:t>40</w:t>
            </w:r>
          </w:p>
        </w:tc>
        <w:tc>
          <w:tcPr>
            <w:tcW w:w="868" w:type="dxa"/>
            <w:shd w:val="clear" w:color="000000" w:fill="FFFFFF" w:themeFill="background1"/>
            <w:vAlign w:val="center"/>
          </w:tcPr>
          <w:p>
            <w:pPr>
              <w:widowControl/>
              <w:jc w:val="center"/>
              <w:rPr>
                <w:rFonts w:ascii="Times New Roman" w:hAnsi="Times New Roman"/>
                <w:b/>
                <w:bCs/>
                <w:color w:val="000000"/>
                <w:kern w:val="0"/>
                <w:szCs w:val="21"/>
              </w:rPr>
            </w:pPr>
            <w:r>
              <w:rPr>
                <w:rFonts w:ascii="Times New Roman" w:hAnsi="Times New Roman"/>
                <w:b/>
                <w:bCs/>
                <w:color w:val="000000"/>
                <w:kern w:val="0"/>
                <w:szCs w:val="21"/>
              </w:rPr>
              <w:t>12</w:t>
            </w:r>
          </w:p>
        </w:tc>
        <w:tc>
          <w:tcPr>
            <w:tcW w:w="878" w:type="dxa"/>
            <w:shd w:val="clear" w:color="000000" w:fill="FFFFFF" w:themeFill="background1"/>
            <w:vAlign w:val="center"/>
          </w:tcPr>
          <w:p>
            <w:pPr>
              <w:widowControl/>
              <w:jc w:val="center"/>
              <w:rPr>
                <w:rFonts w:ascii="Times New Roman" w:hAnsi="Times New Roman"/>
                <w:b/>
                <w:bCs/>
                <w:color w:val="000000"/>
                <w:kern w:val="0"/>
                <w:szCs w:val="21"/>
              </w:rPr>
            </w:pPr>
            <w:r>
              <w:rPr>
                <w:rFonts w:ascii="Times New Roman" w:hAnsi="Times New Roman"/>
                <w:b/>
                <w:bCs/>
                <w:color w:val="000000"/>
                <w:kern w:val="0"/>
                <w:szCs w:val="21"/>
              </w:rPr>
              <w:t>18</w:t>
            </w:r>
          </w:p>
        </w:tc>
        <w:tc>
          <w:tcPr>
            <w:tcW w:w="793" w:type="dxa"/>
            <w:shd w:val="clear" w:color="000000" w:fill="55FA1A"/>
            <w:vAlign w:val="center"/>
          </w:tcPr>
          <w:p>
            <w:pPr>
              <w:widowControl/>
              <w:jc w:val="center"/>
              <w:rPr>
                <w:rFonts w:ascii="Times New Roman" w:hAnsi="Times New Roman"/>
                <w:b/>
                <w:bCs/>
                <w:color w:val="000000" w:themeColor="text1"/>
                <w:kern w:val="0"/>
                <w:szCs w:val="21"/>
                <w:highlight w:val="green"/>
                <w14:textFill>
                  <w14:solidFill>
                    <w14:schemeClr w14:val="tx1"/>
                  </w14:solidFill>
                </w14:textFill>
              </w:rPr>
            </w:pPr>
            <w:r>
              <w:rPr>
                <w:rFonts w:ascii="Times New Roman" w:hAnsi="Times New Roman"/>
                <w:b/>
                <w:bCs/>
                <w:color w:val="000000" w:themeColor="text1"/>
                <w:kern w:val="0"/>
                <w:szCs w:val="21"/>
                <w14:textFill>
                  <w14:solidFill>
                    <w14:schemeClr w14:val="tx1"/>
                  </w14:solidFill>
                </w14:textFill>
              </w:rPr>
              <w:t>34</w:t>
            </w:r>
          </w:p>
        </w:tc>
        <w:tc>
          <w:tcPr>
            <w:tcW w:w="857" w:type="dxa"/>
            <w:shd w:val="clear" w:color="000000" w:fill="FFFFFF" w:themeFill="background1"/>
            <w:vAlign w:val="center"/>
          </w:tcPr>
          <w:p>
            <w:pPr>
              <w:widowControl/>
              <w:jc w:val="center"/>
              <w:rPr>
                <w:rFonts w:ascii="Times New Roman" w:hAnsi="Times New Roman"/>
                <w:b/>
                <w:bCs/>
                <w:color w:val="000000"/>
                <w:kern w:val="0"/>
                <w:szCs w:val="21"/>
              </w:rPr>
            </w:pPr>
            <w:r>
              <w:rPr>
                <w:rFonts w:ascii="Times New Roman" w:hAnsi="Times New Roman"/>
                <w:b/>
                <w:bCs/>
                <w:color w:val="000000"/>
                <w:kern w:val="0"/>
                <w:szCs w:val="21"/>
              </w:rPr>
              <w:t>49</w:t>
            </w:r>
          </w:p>
        </w:tc>
        <w:tc>
          <w:tcPr>
            <w:tcW w:w="732" w:type="dxa"/>
            <w:shd w:val="clear" w:color="000000" w:fill="FFFFFF" w:themeFill="background1"/>
            <w:vAlign w:val="center"/>
          </w:tcPr>
          <w:p>
            <w:pPr>
              <w:widowControl/>
              <w:jc w:val="center"/>
              <w:rPr>
                <w:rFonts w:ascii="Times New Roman" w:hAnsi="Times New Roman"/>
                <w:b/>
                <w:bCs/>
                <w:color w:val="000000"/>
                <w:kern w:val="0"/>
                <w:szCs w:val="21"/>
              </w:rPr>
            </w:pPr>
            <w:r>
              <w:rPr>
                <w:rFonts w:ascii="Times New Roman" w:hAnsi="Times New Roman"/>
                <w:b/>
                <w:bCs/>
                <w:color w:val="000000"/>
                <w:kern w:val="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463" w:type="dxa"/>
            <w:shd w:val="clear" w:color="000000" w:fill="FFFFFF" w:themeFill="background1"/>
            <w:vAlign w:val="center"/>
          </w:tcPr>
          <w:p>
            <w:pPr>
              <w:widowControl/>
              <w:jc w:val="center"/>
              <w:rPr>
                <w:rFonts w:ascii="Times New Roman" w:hAnsi="Times New Roman"/>
                <w:b/>
                <w:bCs/>
                <w:color w:val="000000"/>
                <w:kern w:val="0"/>
                <w:szCs w:val="21"/>
              </w:rPr>
            </w:pPr>
            <w:r>
              <w:rPr>
                <w:rFonts w:ascii="Times New Roman" w:hAnsi="Times New Roman"/>
                <w:b/>
                <w:bCs/>
                <w:color w:val="000000"/>
                <w:kern w:val="0"/>
                <w:szCs w:val="21"/>
              </w:rPr>
              <w:t>31</w:t>
            </w:r>
          </w:p>
        </w:tc>
        <w:tc>
          <w:tcPr>
            <w:tcW w:w="579" w:type="dxa"/>
            <w:vMerge w:val="continue"/>
            <w:shd w:val="clear" w:color="000000" w:fill="FFFFFF" w:themeFill="background1"/>
            <w:vAlign w:val="center"/>
          </w:tcPr>
          <w:p>
            <w:pPr>
              <w:jc w:val="center"/>
              <w:rPr>
                <w:rFonts w:ascii="宋体" w:hAnsi="宋体" w:cs="宋体"/>
                <w:b/>
                <w:bCs/>
                <w:color w:val="000000"/>
                <w:kern w:val="0"/>
                <w:sz w:val="18"/>
                <w:szCs w:val="18"/>
              </w:rPr>
            </w:pPr>
          </w:p>
        </w:tc>
        <w:tc>
          <w:tcPr>
            <w:tcW w:w="1918" w:type="dxa"/>
            <w:shd w:val="clear" w:color="000000" w:fill="FFFFFF" w:themeFill="background1"/>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食品加工技术</w:t>
            </w:r>
          </w:p>
        </w:tc>
        <w:tc>
          <w:tcPr>
            <w:tcW w:w="986" w:type="dxa"/>
            <w:shd w:val="clear" w:color="000000" w:fill="FFFFFF" w:themeFill="background1"/>
            <w:vAlign w:val="center"/>
          </w:tcPr>
          <w:p>
            <w:pPr>
              <w:widowControl/>
              <w:jc w:val="center"/>
              <w:rPr>
                <w:rFonts w:ascii="Times New Roman" w:hAnsi="Times New Roman"/>
                <w:b/>
                <w:bCs/>
                <w:color w:val="000000"/>
                <w:kern w:val="0"/>
                <w:szCs w:val="21"/>
              </w:rPr>
            </w:pPr>
            <w:r>
              <w:rPr>
                <w:rFonts w:ascii="Times New Roman" w:hAnsi="Times New Roman"/>
                <w:b/>
                <w:bCs/>
                <w:color w:val="000000"/>
                <w:kern w:val="0"/>
                <w:szCs w:val="21"/>
              </w:rPr>
              <w:t>42</w:t>
            </w:r>
          </w:p>
        </w:tc>
        <w:tc>
          <w:tcPr>
            <w:tcW w:w="964" w:type="dxa"/>
            <w:shd w:val="clear" w:color="000000" w:fill="FFFFFF" w:themeFill="background1"/>
            <w:vAlign w:val="center"/>
          </w:tcPr>
          <w:p>
            <w:pPr>
              <w:widowControl/>
              <w:jc w:val="center"/>
              <w:rPr>
                <w:rFonts w:ascii="Times New Roman" w:hAnsi="Times New Roman"/>
                <w:b/>
                <w:bCs/>
                <w:color w:val="000000"/>
                <w:kern w:val="0"/>
                <w:szCs w:val="21"/>
              </w:rPr>
            </w:pPr>
            <w:r>
              <w:rPr>
                <w:rFonts w:ascii="Times New Roman" w:hAnsi="Times New Roman"/>
                <w:b/>
                <w:bCs/>
                <w:color w:val="000000"/>
                <w:kern w:val="0"/>
                <w:szCs w:val="21"/>
              </w:rPr>
              <w:t>32</w:t>
            </w:r>
          </w:p>
        </w:tc>
        <w:tc>
          <w:tcPr>
            <w:tcW w:w="868" w:type="dxa"/>
            <w:shd w:val="clear" w:color="000000" w:fill="FFFFFF" w:themeFill="background1"/>
            <w:vAlign w:val="center"/>
          </w:tcPr>
          <w:p>
            <w:pPr>
              <w:widowControl/>
              <w:jc w:val="center"/>
              <w:rPr>
                <w:rFonts w:ascii="Times New Roman" w:hAnsi="Times New Roman"/>
                <w:b/>
                <w:bCs/>
                <w:color w:val="000000"/>
                <w:kern w:val="0"/>
                <w:szCs w:val="21"/>
              </w:rPr>
            </w:pPr>
            <w:r>
              <w:rPr>
                <w:rFonts w:ascii="Times New Roman" w:hAnsi="Times New Roman"/>
                <w:b/>
                <w:bCs/>
                <w:color w:val="000000"/>
                <w:kern w:val="0"/>
                <w:szCs w:val="21"/>
              </w:rPr>
              <w:t>10</w:t>
            </w:r>
          </w:p>
        </w:tc>
        <w:tc>
          <w:tcPr>
            <w:tcW w:w="878" w:type="dxa"/>
            <w:shd w:val="clear" w:color="000000" w:fill="FFFFFF" w:themeFill="background1"/>
            <w:vAlign w:val="center"/>
          </w:tcPr>
          <w:p>
            <w:pPr>
              <w:widowControl/>
              <w:jc w:val="center"/>
              <w:rPr>
                <w:rFonts w:ascii="Times New Roman" w:hAnsi="Times New Roman"/>
                <w:b/>
                <w:bCs/>
                <w:color w:val="000000"/>
                <w:kern w:val="0"/>
                <w:szCs w:val="21"/>
              </w:rPr>
            </w:pPr>
            <w:r>
              <w:rPr>
                <w:rFonts w:ascii="Times New Roman" w:hAnsi="Times New Roman"/>
                <w:b/>
                <w:bCs/>
                <w:color w:val="000000"/>
                <w:kern w:val="0"/>
                <w:szCs w:val="21"/>
              </w:rPr>
              <w:t>13</w:t>
            </w:r>
          </w:p>
        </w:tc>
        <w:tc>
          <w:tcPr>
            <w:tcW w:w="793" w:type="dxa"/>
            <w:shd w:val="clear" w:color="000000" w:fill="55FA1A"/>
            <w:vAlign w:val="center"/>
          </w:tcPr>
          <w:p>
            <w:pPr>
              <w:widowControl/>
              <w:jc w:val="center"/>
              <w:rPr>
                <w:rFonts w:ascii="Times New Roman" w:hAnsi="Times New Roman"/>
                <w:b/>
                <w:bCs/>
                <w:color w:val="000000" w:themeColor="text1"/>
                <w:kern w:val="0"/>
                <w:szCs w:val="21"/>
                <w:highlight w:val="green"/>
                <w14:textFill>
                  <w14:solidFill>
                    <w14:schemeClr w14:val="tx1"/>
                  </w14:solidFill>
                </w14:textFill>
              </w:rPr>
            </w:pPr>
            <w:r>
              <w:rPr>
                <w:rFonts w:ascii="Times New Roman" w:hAnsi="Times New Roman"/>
                <w:b/>
                <w:bCs/>
                <w:color w:val="000000" w:themeColor="text1"/>
                <w:kern w:val="0"/>
                <w:szCs w:val="21"/>
                <w14:textFill>
                  <w14:solidFill>
                    <w14:schemeClr w14:val="tx1"/>
                  </w14:solidFill>
                </w14:textFill>
              </w:rPr>
              <w:t>29</w:t>
            </w:r>
          </w:p>
        </w:tc>
        <w:tc>
          <w:tcPr>
            <w:tcW w:w="857" w:type="dxa"/>
            <w:shd w:val="clear" w:color="000000" w:fill="FFFFFF" w:themeFill="background1"/>
            <w:vAlign w:val="center"/>
          </w:tcPr>
          <w:p>
            <w:pPr>
              <w:widowControl/>
              <w:jc w:val="center"/>
              <w:rPr>
                <w:rFonts w:ascii="Times New Roman" w:hAnsi="Times New Roman"/>
                <w:b/>
                <w:bCs/>
                <w:color w:val="000000"/>
                <w:kern w:val="0"/>
                <w:szCs w:val="21"/>
              </w:rPr>
            </w:pPr>
            <w:r>
              <w:rPr>
                <w:rFonts w:ascii="Times New Roman" w:hAnsi="Times New Roman"/>
                <w:b/>
                <w:bCs/>
                <w:color w:val="000000"/>
                <w:kern w:val="0"/>
                <w:szCs w:val="21"/>
              </w:rPr>
              <w:t>28</w:t>
            </w:r>
          </w:p>
        </w:tc>
        <w:tc>
          <w:tcPr>
            <w:tcW w:w="732" w:type="dxa"/>
            <w:shd w:val="clear" w:color="000000" w:fill="FFFFFF" w:themeFill="background1"/>
            <w:vAlign w:val="center"/>
          </w:tcPr>
          <w:p>
            <w:pPr>
              <w:widowControl/>
              <w:jc w:val="center"/>
              <w:rPr>
                <w:rFonts w:ascii="Times New Roman" w:hAnsi="Times New Roman"/>
                <w:b/>
                <w:bCs/>
                <w:color w:val="000000"/>
                <w:kern w:val="0"/>
                <w:szCs w:val="21"/>
              </w:rPr>
            </w:pPr>
            <w:r>
              <w:rPr>
                <w:rFonts w:ascii="Times New Roman" w:hAnsi="Times New Roman"/>
                <w:b/>
                <w:bCs/>
                <w:color w:val="000000"/>
                <w:kern w:val="0"/>
                <w:szCs w:val="21"/>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463" w:type="dxa"/>
            <w:shd w:val="clear" w:color="000000" w:fill="FFFFFF" w:themeFill="background1"/>
            <w:vAlign w:val="center"/>
          </w:tcPr>
          <w:p>
            <w:pPr>
              <w:widowControl/>
              <w:jc w:val="center"/>
              <w:rPr>
                <w:rFonts w:ascii="Times New Roman" w:hAnsi="Times New Roman"/>
                <w:b/>
                <w:bCs/>
                <w:color w:val="000000"/>
                <w:kern w:val="0"/>
                <w:szCs w:val="21"/>
              </w:rPr>
            </w:pPr>
            <w:r>
              <w:rPr>
                <w:rFonts w:ascii="Times New Roman" w:hAnsi="Times New Roman"/>
                <w:b/>
                <w:bCs/>
                <w:color w:val="000000"/>
                <w:kern w:val="0"/>
                <w:szCs w:val="21"/>
              </w:rPr>
              <w:t>32</w:t>
            </w:r>
          </w:p>
        </w:tc>
        <w:tc>
          <w:tcPr>
            <w:tcW w:w="579" w:type="dxa"/>
            <w:vMerge w:val="continue"/>
            <w:shd w:val="clear" w:color="000000" w:fill="FFFFFF" w:themeFill="background1"/>
            <w:vAlign w:val="center"/>
          </w:tcPr>
          <w:p>
            <w:pPr>
              <w:jc w:val="center"/>
              <w:rPr>
                <w:rFonts w:ascii="宋体" w:hAnsi="宋体" w:cs="宋体"/>
                <w:b/>
                <w:bCs/>
                <w:color w:val="000000"/>
                <w:kern w:val="0"/>
                <w:sz w:val="18"/>
                <w:szCs w:val="18"/>
              </w:rPr>
            </w:pPr>
          </w:p>
        </w:tc>
        <w:tc>
          <w:tcPr>
            <w:tcW w:w="1918" w:type="dxa"/>
            <w:shd w:val="clear" w:color="000000" w:fill="FFFFFF" w:themeFill="background1"/>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食品生物技术</w:t>
            </w:r>
          </w:p>
        </w:tc>
        <w:tc>
          <w:tcPr>
            <w:tcW w:w="986" w:type="dxa"/>
            <w:shd w:val="clear" w:color="000000" w:fill="FFFFFF" w:themeFill="background1"/>
            <w:vAlign w:val="center"/>
          </w:tcPr>
          <w:p>
            <w:pPr>
              <w:widowControl/>
              <w:jc w:val="center"/>
              <w:rPr>
                <w:rFonts w:ascii="Times New Roman" w:hAnsi="Times New Roman"/>
                <w:b/>
                <w:bCs/>
                <w:color w:val="000000"/>
                <w:kern w:val="0"/>
                <w:szCs w:val="21"/>
              </w:rPr>
            </w:pPr>
            <w:r>
              <w:rPr>
                <w:rFonts w:ascii="Times New Roman" w:hAnsi="Times New Roman"/>
                <w:b/>
                <w:bCs/>
                <w:color w:val="000000"/>
                <w:kern w:val="0"/>
                <w:szCs w:val="21"/>
              </w:rPr>
              <w:t>43</w:t>
            </w:r>
          </w:p>
        </w:tc>
        <w:tc>
          <w:tcPr>
            <w:tcW w:w="964" w:type="dxa"/>
            <w:shd w:val="clear" w:color="000000" w:fill="FFFFFF" w:themeFill="background1"/>
            <w:vAlign w:val="center"/>
          </w:tcPr>
          <w:p>
            <w:pPr>
              <w:widowControl/>
              <w:jc w:val="center"/>
              <w:rPr>
                <w:rFonts w:ascii="Times New Roman" w:hAnsi="Times New Roman"/>
                <w:b/>
                <w:bCs/>
                <w:color w:val="000000"/>
                <w:kern w:val="0"/>
                <w:szCs w:val="21"/>
              </w:rPr>
            </w:pPr>
            <w:r>
              <w:rPr>
                <w:rFonts w:ascii="Times New Roman" w:hAnsi="Times New Roman"/>
                <w:b/>
                <w:bCs/>
                <w:color w:val="000000"/>
                <w:kern w:val="0"/>
                <w:szCs w:val="21"/>
              </w:rPr>
              <w:t>35</w:t>
            </w:r>
          </w:p>
        </w:tc>
        <w:tc>
          <w:tcPr>
            <w:tcW w:w="868" w:type="dxa"/>
            <w:shd w:val="clear" w:color="000000" w:fill="FFFFFF" w:themeFill="background1"/>
            <w:vAlign w:val="center"/>
          </w:tcPr>
          <w:p>
            <w:pPr>
              <w:widowControl/>
              <w:jc w:val="center"/>
              <w:rPr>
                <w:rFonts w:ascii="Times New Roman" w:hAnsi="Times New Roman"/>
                <w:b/>
                <w:bCs/>
                <w:color w:val="000000"/>
                <w:kern w:val="0"/>
                <w:szCs w:val="21"/>
              </w:rPr>
            </w:pPr>
            <w:r>
              <w:rPr>
                <w:rFonts w:ascii="Times New Roman" w:hAnsi="Times New Roman"/>
                <w:b/>
                <w:bCs/>
                <w:color w:val="000000"/>
                <w:kern w:val="0"/>
                <w:szCs w:val="21"/>
              </w:rPr>
              <w:t>8</w:t>
            </w:r>
          </w:p>
        </w:tc>
        <w:tc>
          <w:tcPr>
            <w:tcW w:w="878" w:type="dxa"/>
            <w:shd w:val="clear" w:color="000000" w:fill="FFFFFF" w:themeFill="background1"/>
            <w:vAlign w:val="center"/>
          </w:tcPr>
          <w:p>
            <w:pPr>
              <w:widowControl/>
              <w:jc w:val="center"/>
              <w:rPr>
                <w:rFonts w:ascii="Times New Roman" w:hAnsi="Times New Roman"/>
                <w:b/>
                <w:bCs/>
                <w:color w:val="000000"/>
                <w:kern w:val="0"/>
                <w:szCs w:val="21"/>
              </w:rPr>
            </w:pPr>
            <w:r>
              <w:rPr>
                <w:rFonts w:ascii="Times New Roman" w:hAnsi="Times New Roman"/>
                <w:b/>
                <w:bCs/>
                <w:color w:val="000000"/>
                <w:kern w:val="0"/>
                <w:szCs w:val="21"/>
              </w:rPr>
              <w:t>12</w:t>
            </w:r>
          </w:p>
        </w:tc>
        <w:tc>
          <w:tcPr>
            <w:tcW w:w="793" w:type="dxa"/>
            <w:shd w:val="clear" w:color="000000" w:fill="55FA1A"/>
            <w:vAlign w:val="center"/>
          </w:tcPr>
          <w:p>
            <w:pPr>
              <w:widowControl/>
              <w:jc w:val="center"/>
              <w:rPr>
                <w:rFonts w:ascii="Times New Roman" w:hAnsi="Times New Roman"/>
                <w:b/>
                <w:bCs/>
                <w:color w:val="000000" w:themeColor="text1"/>
                <w:kern w:val="0"/>
                <w:szCs w:val="21"/>
                <w:highlight w:val="green"/>
                <w14:textFill>
                  <w14:solidFill>
                    <w14:schemeClr w14:val="tx1"/>
                  </w14:solidFill>
                </w14:textFill>
              </w:rPr>
            </w:pPr>
            <w:r>
              <w:rPr>
                <w:rFonts w:ascii="Times New Roman" w:hAnsi="Times New Roman"/>
                <w:b/>
                <w:bCs/>
                <w:color w:val="000000" w:themeColor="text1"/>
                <w:kern w:val="0"/>
                <w:szCs w:val="21"/>
                <w14:textFill>
                  <w14:solidFill>
                    <w14:schemeClr w14:val="tx1"/>
                  </w14:solidFill>
                </w14:textFill>
              </w:rPr>
              <w:t>31</w:t>
            </w:r>
          </w:p>
        </w:tc>
        <w:tc>
          <w:tcPr>
            <w:tcW w:w="857" w:type="dxa"/>
            <w:shd w:val="clear" w:color="000000" w:fill="FFFFFF" w:themeFill="background1"/>
            <w:vAlign w:val="center"/>
          </w:tcPr>
          <w:p>
            <w:pPr>
              <w:widowControl/>
              <w:jc w:val="center"/>
              <w:rPr>
                <w:rFonts w:ascii="Times New Roman" w:hAnsi="Times New Roman"/>
                <w:b/>
                <w:bCs/>
                <w:color w:val="000000"/>
                <w:kern w:val="0"/>
                <w:szCs w:val="21"/>
              </w:rPr>
            </w:pPr>
            <w:r>
              <w:rPr>
                <w:rFonts w:ascii="Times New Roman" w:hAnsi="Times New Roman"/>
                <w:b/>
                <w:bCs/>
                <w:color w:val="000000"/>
                <w:kern w:val="0"/>
                <w:szCs w:val="21"/>
              </w:rPr>
              <w:t>41</w:t>
            </w:r>
          </w:p>
        </w:tc>
        <w:tc>
          <w:tcPr>
            <w:tcW w:w="732" w:type="dxa"/>
            <w:shd w:val="clear" w:color="000000" w:fill="FFFFFF" w:themeFill="background1"/>
            <w:vAlign w:val="center"/>
          </w:tcPr>
          <w:p>
            <w:pPr>
              <w:widowControl/>
              <w:jc w:val="center"/>
              <w:rPr>
                <w:rFonts w:ascii="Times New Roman" w:hAnsi="Times New Roman"/>
                <w:b/>
                <w:bCs/>
                <w:color w:val="000000"/>
                <w:kern w:val="0"/>
                <w:szCs w:val="21"/>
              </w:rPr>
            </w:pPr>
            <w:r>
              <w:rPr>
                <w:rFonts w:ascii="Times New Roman" w:hAnsi="Times New Roman"/>
                <w:b/>
                <w:bCs/>
                <w:color w:val="000000"/>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463" w:type="dxa"/>
            <w:shd w:val="clear" w:color="000000" w:fill="FFFFFF" w:themeFill="background1"/>
            <w:vAlign w:val="center"/>
          </w:tcPr>
          <w:p>
            <w:pPr>
              <w:widowControl/>
              <w:jc w:val="center"/>
              <w:rPr>
                <w:rFonts w:ascii="Times New Roman" w:hAnsi="Times New Roman"/>
                <w:b/>
                <w:bCs/>
                <w:color w:val="000000"/>
                <w:kern w:val="0"/>
                <w:szCs w:val="21"/>
              </w:rPr>
            </w:pPr>
            <w:r>
              <w:rPr>
                <w:rFonts w:ascii="Times New Roman" w:hAnsi="Times New Roman"/>
                <w:b/>
                <w:bCs/>
                <w:color w:val="000000"/>
                <w:kern w:val="0"/>
                <w:szCs w:val="21"/>
              </w:rPr>
              <w:t>33</w:t>
            </w:r>
          </w:p>
        </w:tc>
        <w:tc>
          <w:tcPr>
            <w:tcW w:w="579" w:type="dxa"/>
            <w:vMerge w:val="continue"/>
            <w:shd w:val="clear" w:color="000000" w:fill="FFFFFF" w:themeFill="background1"/>
            <w:vAlign w:val="center"/>
          </w:tcPr>
          <w:p>
            <w:pPr>
              <w:jc w:val="center"/>
              <w:rPr>
                <w:rFonts w:ascii="宋体" w:hAnsi="宋体" w:cs="宋体"/>
                <w:b/>
                <w:bCs/>
                <w:color w:val="000000"/>
                <w:kern w:val="0"/>
                <w:sz w:val="18"/>
                <w:szCs w:val="18"/>
              </w:rPr>
            </w:pPr>
          </w:p>
        </w:tc>
        <w:tc>
          <w:tcPr>
            <w:tcW w:w="1918" w:type="dxa"/>
            <w:shd w:val="clear" w:color="000000" w:fill="FFFFFF" w:themeFill="background1"/>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食品营养与检测</w:t>
            </w:r>
          </w:p>
        </w:tc>
        <w:tc>
          <w:tcPr>
            <w:tcW w:w="986" w:type="dxa"/>
            <w:shd w:val="clear" w:color="000000" w:fill="FFFFFF" w:themeFill="background1"/>
            <w:vAlign w:val="center"/>
          </w:tcPr>
          <w:p>
            <w:pPr>
              <w:widowControl/>
              <w:jc w:val="center"/>
              <w:rPr>
                <w:rFonts w:ascii="Times New Roman" w:hAnsi="Times New Roman"/>
                <w:b/>
                <w:bCs/>
                <w:color w:val="000000"/>
                <w:kern w:val="0"/>
                <w:szCs w:val="21"/>
              </w:rPr>
            </w:pPr>
            <w:r>
              <w:rPr>
                <w:rFonts w:ascii="Times New Roman" w:hAnsi="Times New Roman"/>
                <w:b/>
                <w:bCs/>
                <w:color w:val="000000"/>
                <w:kern w:val="0"/>
                <w:szCs w:val="21"/>
              </w:rPr>
              <w:t>98</w:t>
            </w:r>
          </w:p>
        </w:tc>
        <w:tc>
          <w:tcPr>
            <w:tcW w:w="964" w:type="dxa"/>
            <w:shd w:val="clear" w:color="000000" w:fill="FFFFFF" w:themeFill="background1"/>
            <w:vAlign w:val="center"/>
          </w:tcPr>
          <w:p>
            <w:pPr>
              <w:widowControl/>
              <w:jc w:val="center"/>
              <w:rPr>
                <w:rFonts w:ascii="Times New Roman" w:hAnsi="Times New Roman"/>
                <w:b/>
                <w:bCs/>
                <w:color w:val="000000"/>
                <w:kern w:val="0"/>
                <w:szCs w:val="21"/>
              </w:rPr>
            </w:pPr>
            <w:r>
              <w:rPr>
                <w:rFonts w:ascii="Times New Roman" w:hAnsi="Times New Roman"/>
                <w:b/>
                <w:bCs/>
                <w:color w:val="000000"/>
                <w:kern w:val="0"/>
                <w:szCs w:val="21"/>
              </w:rPr>
              <w:t>77</w:t>
            </w:r>
          </w:p>
        </w:tc>
        <w:tc>
          <w:tcPr>
            <w:tcW w:w="868" w:type="dxa"/>
            <w:shd w:val="clear" w:color="000000" w:fill="FFFFFF" w:themeFill="background1"/>
            <w:vAlign w:val="center"/>
          </w:tcPr>
          <w:p>
            <w:pPr>
              <w:widowControl/>
              <w:jc w:val="center"/>
              <w:rPr>
                <w:rFonts w:ascii="Times New Roman" w:hAnsi="Times New Roman"/>
                <w:b/>
                <w:bCs/>
                <w:color w:val="000000"/>
                <w:kern w:val="0"/>
                <w:szCs w:val="21"/>
              </w:rPr>
            </w:pPr>
            <w:r>
              <w:rPr>
                <w:rFonts w:ascii="Times New Roman" w:hAnsi="Times New Roman"/>
                <w:b/>
                <w:bCs/>
                <w:color w:val="000000"/>
                <w:kern w:val="0"/>
                <w:szCs w:val="21"/>
              </w:rPr>
              <w:t>21</w:t>
            </w:r>
          </w:p>
        </w:tc>
        <w:tc>
          <w:tcPr>
            <w:tcW w:w="878" w:type="dxa"/>
            <w:shd w:val="clear" w:color="000000" w:fill="FFFFFF" w:themeFill="background1"/>
            <w:vAlign w:val="center"/>
          </w:tcPr>
          <w:p>
            <w:pPr>
              <w:widowControl/>
              <w:jc w:val="center"/>
              <w:rPr>
                <w:rFonts w:ascii="Times New Roman" w:hAnsi="Times New Roman"/>
                <w:b/>
                <w:bCs/>
                <w:color w:val="000000"/>
                <w:kern w:val="0"/>
                <w:szCs w:val="21"/>
              </w:rPr>
            </w:pPr>
            <w:r>
              <w:rPr>
                <w:rFonts w:ascii="Times New Roman" w:hAnsi="Times New Roman"/>
                <w:b/>
                <w:bCs/>
                <w:color w:val="000000"/>
                <w:kern w:val="0"/>
                <w:szCs w:val="21"/>
              </w:rPr>
              <w:t>19</w:t>
            </w:r>
          </w:p>
        </w:tc>
        <w:tc>
          <w:tcPr>
            <w:tcW w:w="793" w:type="dxa"/>
            <w:shd w:val="clear" w:color="000000" w:fill="55FA1A"/>
            <w:vAlign w:val="center"/>
          </w:tcPr>
          <w:p>
            <w:pPr>
              <w:widowControl/>
              <w:jc w:val="center"/>
              <w:rPr>
                <w:rFonts w:ascii="Times New Roman" w:hAnsi="Times New Roman"/>
                <w:b/>
                <w:bCs/>
                <w:color w:val="000000" w:themeColor="text1"/>
                <w:kern w:val="0"/>
                <w:szCs w:val="21"/>
                <w:highlight w:val="green"/>
                <w14:textFill>
                  <w14:solidFill>
                    <w14:schemeClr w14:val="tx1"/>
                  </w14:solidFill>
                </w14:textFill>
              </w:rPr>
            </w:pPr>
            <w:r>
              <w:rPr>
                <w:rFonts w:ascii="Times New Roman" w:hAnsi="Times New Roman"/>
                <w:b/>
                <w:bCs/>
                <w:color w:val="000000" w:themeColor="text1"/>
                <w:kern w:val="0"/>
                <w:szCs w:val="21"/>
                <w14:textFill>
                  <w14:solidFill>
                    <w14:schemeClr w14:val="tx1"/>
                  </w14:solidFill>
                </w14:textFill>
              </w:rPr>
              <w:t>79</w:t>
            </w:r>
          </w:p>
        </w:tc>
        <w:tc>
          <w:tcPr>
            <w:tcW w:w="857" w:type="dxa"/>
            <w:shd w:val="clear" w:color="000000" w:fill="FFFFFF" w:themeFill="background1"/>
            <w:vAlign w:val="center"/>
          </w:tcPr>
          <w:p>
            <w:pPr>
              <w:widowControl/>
              <w:jc w:val="center"/>
              <w:rPr>
                <w:rFonts w:ascii="Times New Roman" w:hAnsi="Times New Roman"/>
                <w:b/>
                <w:bCs/>
                <w:color w:val="000000"/>
                <w:kern w:val="0"/>
                <w:szCs w:val="21"/>
              </w:rPr>
            </w:pPr>
            <w:r>
              <w:rPr>
                <w:rFonts w:ascii="Times New Roman" w:hAnsi="Times New Roman"/>
                <w:b/>
                <w:bCs/>
                <w:color w:val="000000"/>
                <w:kern w:val="0"/>
                <w:szCs w:val="21"/>
              </w:rPr>
              <w:t>89</w:t>
            </w:r>
          </w:p>
        </w:tc>
        <w:tc>
          <w:tcPr>
            <w:tcW w:w="732" w:type="dxa"/>
            <w:shd w:val="clear" w:color="000000" w:fill="FFFFFF" w:themeFill="background1"/>
            <w:vAlign w:val="center"/>
          </w:tcPr>
          <w:p>
            <w:pPr>
              <w:widowControl/>
              <w:jc w:val="center"/>
              <w:rPr>
                <w:rFonts w:ascii="Times New Roman" w:hAnsi="Times New Roman"/>
                <w:b/>
                <w:bCs/>
                <w:color w:val="000000"/>
                <w:kern w:val="0"/>
                <w:szCs w:val="21"/>
              </w:rPr>
            </w:pPr>
            <w:r>
              <w:rPr>
                <w:rFonts w:ascii="Times New Roman" w:hAnsi="Times New Roman"/>
                <w:b/>
                <w:bCs/>
                <w:color w:val="000000"/>
                <w:kern w:val="0"/>
                <w:szCs w:val="2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463" w:type="dxa"/>
            <w:shd w:val="clear" w:color="000000" w:fill="FFFFFF" w:themeFill="background1"/>
            <w:vAlign w:val="center"/>
          </w:tcPr>
          <w:p>
            <w:pPr>
              <w:widowControl/>
              <w:jc w:val="center"/>
              <w:rPr>
                <w:rFonts w:ascii="Times New Roman" w:hAnsi="Times New Roman"/>
                <w:b/>
                <w:bCs/>
                <w:color w:val="000000"/>
                <w:kern w:val="0"/>
                <w:szCs w:val="21"/>
              </w:rPr>
            </w:pPr>
            <w:r>
              <w:rPr>
                <w:rFonts w:ascii="Times New Roman" w:hAnsi="Times New Roman"/>
                <w:b/>
                <w:bCs/>
                <w:color w:val="000000"/>
                <w:kern w:val="0"/>
                <w:szCs w:val="21"/>
              </w:rPr>
              <w:t>34</w:t>
            </w:r>
          </w:p>
        </w:tc>
        <w:tc>
          <w:tcPr>
            <w:tcW w:w="579" w:type="dxa"/>
            <w:vMerge w:val="continue"/>
            <w:shd w:val="clear" w:color="000000" w:fill="FFFFFF" w:themeFill="background1"/>
            <w:vAlign w:val="center"/>
          </w:tcPr>
          <w:p>
            <w:pPr>
              <w:widowControl/>
              <w:jc w:val="center"/>
              <w:rPr>
                <w:rFonts w:ascii="宋体" w:hAnsi="宋体" w:cs="宋体"/>
                <w:b/>
                <w:bCs/>
                <w:color w:val="000000"/>
                <w:kern w:val="0"/>
                <w:sz w:val="18"/>
                <w:szCs w:val="18"/>
              </w:rPr>
            </w:pPr>
          </w:p>
        </w:tc>
        <w:tc>
          <w:tcPr>
            <w:tcW w:w="1918" w:type="dxa"/>
            <w:shd w:val="clear" w:color="000000" w:fill="FFFFFF" w:themeFill="background1"/>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园艺技术</w:t>
            </w:r>
          </w:p>
        </w:tc>
        <w:tc>
          <w:tcPr>
            <w:tcW w:w="986" w:type="dxa"/>
            <w:shd w:val="clear" w:color="000000" w:fill="FFFFFF" w:themeFill="background1"/>
            <w:vAlign w:val="center"/>
          </w:tcPr>
          <w:p>
            <w:pPr>
              <w:widowControl/>
              <w:jc w:val="center"/>
              <w:rPr>
                <w:rFonts w:ascii="Times New Roman" w:hAnsi="Times New Roman"/>
                <w:b/>
                <w:bCs/>
                <w:color w:val="000000"/>
                <w:kern w:val="0"/>
                <w:szCs w:val="21"/>
              </w:rPr>
            </w:pPr>
            <w:r>
              <w:rPr>
                <w:rFonts w:ascii="Times New Roman" w:hAnsi="Times New Roman"/>
                <w:b/>
                <w:bCs/>
                <w:color w:val="000000"/>
                <w:kern w:val="0"/>
                <w:szCs w:val="21"/>
              </w:rPr>
              <w:t>32</w:t>
            </w:r>
          </w:p>
        </w:tc>
        <w:tc>
          <w:tcPr>
            <w:tcW w:w="964" w:type="dxa"/>
            <w:shd w:val="clear" w:color="000000" w:fill="FFFFFF" w:themeFill="background1"/>
            <w:vAlign w:val="center"/>
          </w:tcPr>
          <w:p>
            <w:pPr>
              <w:widowControl/>
              <w:jc w:val="center"/>
              <w:rPr>
                <w:rFonts w:ascii="Times New Roman" w:hAnsi="Times New Roman"/>
                <w:b/>
                <w:bCs/>
                <w:color w:val="000000"/>
                <w:kern w:val="0"/>
                <w:szCs w:val="21"/>
              </w:rPr>
            </w:pPr>
            <w:r>
              <w:rPr>
                <w:rFonts w:ascii="Times New Roman" w:hAnsi="Times New Roman"/>
                <w:b/>
                <w:bCs/>
                <w:color w:val="000000"/>
                <w:kern w:val="0"/>
                <w:szCs w:val="21"/>
              </w:rPr>
              <w:t>32</w:t>
            </w:r>
          </w:p>
        </w:tc>
        <w:tc>
          <w:tcPr>
            <w:tcW w:w="868" w:type="dxa"/>
            <w:shd w:val="clear" w:color="000000" w:fill="FFFFFF" w:themeFill="background1"/>
            <w:vAlign w:val="center"/>
          </w:tcPr>
          <w:p>
            <w:pPr>
              <w:widowControl/>
              <w:jc w:val="center"/>
              <w:rPr>
                <w:rFonts w:ascii="Times New Roman" w:hAnsi="Times New Roman"/>
                <w:b/>
                <w:bCs/>
                <w:color w:val="000000"/>
                <w:kern w:val="0"/>
                <w:szCs w:val="21"/>
              </w:rPr>
            </w:pPr>
            <w:r>
              <w:rPr>
                <w:rFonts w:ascii="Times New Roman" w:hAnsi="Times New Roman"/>
                <w:b/>
                <w:bCs/>
                <w:color w:val="000000"/>
                <w:kern w:val="0"/>
                <w:szCs w:val="21"/>
              </w:rPr>
              <w:t>0</w:t>
            </w:r>
          </w:p>
        </w:tc>
        <w:tc>
          <w:tcPr>
            <w:tcW w:w="878" w:type="dxa"/>
            <w:shd w:val="clear" w:color="000000" w:fill="FFFFFF" w:themeFill="background1"/>
            <w:vAlign w:val="center"/>
          </w:tcPr>
          <w:p>
            <w:pPr>
              <w:widowControl/>
              <w:jc w:val="center"/>
              <w:rPr>
                <w:rFonts w:ascii="Times New Roman" w:hAnsi="Times New Roman"/>
                <w:b/>
                <w:bCs/>
                <w:color w:val="000000"/>
                <w:kern w:val="0"/>
                <w:szCs w:val="21"/>
              </w:rPr>
            </w:pPr>
            <w:r>
              <w:rPr>
                <w:rFonts w:ascii="Times New Roman" w:hAnsi="Times New Roman"/>
                <w:b/>
                <w:bCs/>
                <w:color w:val="000000"/>
                <w:kern w:val="0"/>
                <w:szCs w:val="21"/>
              </w:rPr>
              <w:t>15</w:t>
            </w:r>
          </w:p>
        </w:tc>
        <w:tc>
          <w:tcPr>
            <w:tcW w:w="793" w:type="dxa"/>
            <w:tcBorders>
              <w:bottom w:val="single" w:color="auto" w:sz="4" w:space="0"/>
            </w:tcBorders>
            <w:shd w:val="clear" w:color="000000" w:fill="55FA1A"/>
            <w:vAlign w:val="center"/>
          </w:tcPr>
          <w:p>
            <w:pPr>
              <w:widowControl/>
              <w:jc w:val="center"/>
              <w:rPr>
                <w:rFonts w:ascii="Times New Roman" w:hAnsi="Times New Roman"/>
                <w:b/>
                <w:bCs/>
                <w:color w:val="000000" w:themeColor="text1"/>
                <w:kern w:val="0"/>
                <w:szCs w:val="21"/>
                <w:highlight w:val="green"/>
                <w14:textFill>
                  <w14:solidFill>
                    <w14:schemeClr w14:val="tx1"/>
                  </w14:solidFill>
                </w14:textFill>
              </w:rPr>
            </w:pPr>
            <w:r>
              <w:rPr>
                <w:rFonts w:ascii="Times New Roman" w:hAnsi="Times New Roman"/>
                <w:b/>
                <w:bCs/>
                <w:color w:val="000000" w:themeColor="text1"/>
                <w:kern w:val="0"/>
                <w:szCs w:val="21"/>
                <w14:textFill>
                  <w14:solidFill>
                    <w14:schemeClr w14:val="tx1"/>
                  </w14:solidFill>
                </w14:textFill>
              </w:rPr>
              <w:t>17</w:t>
            </w:r>
          </w:p>
        </w:tc>
        <w:tc>
          <w:tcPr>
            <w:tcW w:w="857" w:type="dxa"/>
            <w:shd w:val="clear" w:color="000000" w:fill="FFFFFF" w:themeFill="background1"/>
            <w:vAlign w:val="center"/>
          </w:tcPr>
          <w:p>
            <w:pPr>
              <w:widowControl/>
              <w:jc w:val="center"/>
              <w:rPr>
                <w:rFonts w:ascii="Times New Roman" w:hAnsi="Times New Roman"/>
                <w:b/>
                <w:bCs/>
                <w:color w:val="000000"/>
                <w:kern w:val="0"/>
                <w:szCs w:val="21"/>
              </w:rPr>
            </w:pPr>
            <w:r>
              <w:rPr>
                <w:rFonts w:ascii="Times New Roman" w:hAnsi="Times New Roman"/>
                <w:b/>
                <w:bCs/>
                <w:color w:val="000000"/>
                <w:kern w:val="0"/>
                <w:szCs w:val="21"/>
              </w:rPr>
              <w:t>29</w:t>
            </w:r>
          </w:p>
        </w:tc>
        <w:tc>
          <w:tcPr>
            <w:tcW w:w="732" w:type="dxa"/>
            <w:shd w:val="clear" w:color="000000" w:fill="FFFFFF" w:themeFill="background1"/>
            <w:vAlign w:val="center"/>
          </w:tcPr>
          <w:p>
            <w:pPr>
              <w:widowControl/>
              <w:jc w:val="center"/>
              <w:rPr>
                <w:rFonts w:ascii="Times New Roman" w:hAnsi="Times New Roman"/>
                <w:b/>
                <w:bCs/>
                <w:color w:val="000000"/>
                <w:kern w:val="0"/>
                <w:szCs w:val="21"/>
              </w:rPr>
            </w:pPr>
            <w:r>
              <w:rPr>
                <w:rFonts w:ascii="Times New Roman" w:hAnsi="Times New Roman"/>
                <w:b/>
                <w:bCs/>
                <w:color w:val="000000"/>
                <w:kern w:val="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2960" w:type="dxa"/>
            <w:gridSpan w:val="3"/>
            <w:shd w:val="clear" w:color="000000" w:fill="FFFFFF" w:themeFill="background1"/>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 xml:space="preserve">合  </w:t>
            </w:r>
            <w:r>
              <w:rPr>
                <w:rFonts w:ascii="宋体" w:hAnsi="宋体" w:cs="宋体"/>
                <w:b/>
                <w:bCs/>
                <w:color w:val="000000"/>
                <w:kern w:val="0"/>
                <w:sz w:val="18"/>
                <w:szCs w:val="18"/>
              </w:rPr>
              <w:t xml:space="preserve">  </w:t>
            </w:r>
            <w:r>
              <w:rPr>
                <w:rFonts w:hint="eastAsia" w:ascii="宋体" w:hAnsi="宋体" w:cs="宋体"/>
                <w:b/>
                <w:bCs/>
                <w:color w:val="000000"/>
                <w:kern w:val="0"/>
                <w:sz w:val="18"/>
                <w:szCs w:val="18"/>
              </w:rPr>
              <w:t>计</w:t>
            </w:r>
          </w:p>
        </w:tc>
        <w:tc>
          <w:tcPr>
            <w:tcW w:w="986" w:type="dxa"/>
            <w:shd w:val="clear" w:color="000000" w:fill="FFFFFF" w:themeFill="background1"/>
            <w:vAlign w:val="center"/>
          </w:tcPr>
          <w:p>
            <w:pPr>
              <w:widowControl/>
              <w:jc w:val="center"/>
              <w:rPr>
                <w:rFonts w:ascii="Times New Roman" w:hAnsi="Times New Roman"/>
                <w:b/>
                <w:bCs/>
                <w:color w:val="000000"/>
                <w:kern w:val="0"/>
                <w:szCs w:val="21"/>
              </w:rPr>
            </w:pPr>
            <w:r>
              <w:rPr>
                <w:rFonts w:ascii="Times New Roman" w:hAnsi="Times New Roman"/>
                <w:b/>
                <w:bCs/>
                <w:color w:val="000000"/>
                <w:kern w:val="0"/>
                <w:szCs w:val="21"/>
              </w:rPr>
              <w:t>2591</w:t>
            </w:r>
          </w:p>
        </w:tc>
        <w:tc>
          <w:tcPr>
            <w:tcW w:w="964" w:type="dxa"/>
            <w:shd w:val="clear" w:color="000000" w:fill="FFFFFF" w:themeFill="background1"/>
            <w:vAlign w:val="center"/>
          </w:tcPr>
          <w:p>
            <w:pPr>
              <w:widowControl/>
              <w:jc w:val="center"/>
              <w:rPr>
                <w:rFonts w:ascii="Times New Roman" w:hAnsi="Times New Roman"/>
                <w:b/>
                <w:bCs/>
                <w:color w:val="000000"/>
                <w:kern w:val="0"/>
                <w:szCs w:val="21"/>
              </w:rPr>
            </w:pPr>
            <w:r>
              <w:rPr>
                <w:rFonts w:ascii="Times New Roman" w:hAnsi="Times New Roman"/>
                <w:b/>
                <w:bCs/>
                <w:color w:val="000000"/>
                <w:kern w:val="0"/>
                <w:szCs w:val="21"/>
              </w:rPr>
              <w:t>1772</w:t>
            </w:r>
          </w:p>
        </w:tc>
        <w:tc>
          <w:tcPr>
            <w:tcW w:w="868" w:type="dxa"/>
            <w:shd w:val="clear" w:color="000000" w:fill="FFFFFF" w:themeFill="background1"/>
            <w:vAlign w:val="center"/>
          </w:tcPr>
          <w:p>
            <w:pPr>
              <w:widowControl/>
              <w:jc w:val="center"/>
              <w:rPr>
                <w:rFonts w:ascii="Times New Roman" w:hAnsi="Times New Roman"/>
                <w:b/>
                <w:bCs/>
                <w:color w:val="000000"/>
                <w:kern w:val="0"/>
                <w:szCs w:val="21"/>
              </w:rPr>
            </w:pPr>
            <w:r>
              <w:rPr>
                <w:rFonts w:ascii="Times New Roman" w:hAnsi="Times New Roman"/>
                <w:b/>
                <w:bCs/>
                <w:color w:val="000000"/>
                <w:kern w:val="0"/>
                <w:szCs w:val="21"/>
              </w:rPr>
              <w:t>819</w:t>
            </w:r>
          </w:p>
        </w:tc>
        <w:tc>
          <w:tcPr>
            <w:tcW w:w="878" w:type="dxa"/>
            <w:shd w:val="clear" w:color="000000" w:fill="FFFFFF" w:themeFill="background1"/>
            <w:vAlign w:val="center"/>
          </w:tcPr>
          <w:p>
            <w:pPr>
              <w:widowControl/>
              <w:jc w:val="center"/>
              <w:rPr>
                <w:rFonts w:ascii="Times New Roman" w:hAnsi="Times New Roman"/>
                <w:b/>
                <w:bCs/>
                <w:color w:val="000000"/>
                <w:kern w:val="0"/>
                <w:szCs w:val="21"/>
              </w:rPr>
            </w:pPr>
            <w:r>
              <w:rPr>
                <w:rFonts w:ascii="Times New Roman" w:hAnsi="Times New Roman"/>
                <w:b/>
                <w:bCs/>
                <w:color w:val="000000"/>
                <w:kern w:val="0"/>
                <w:szCs w:val="21"/>
              </w:rPr>
              <w:t>1593</w:t>
            </w:r>
          </w:p>
        </w:tc>
        <w:tc>
          <w:tcPr>
            <w:tcW w:w="793" w:type="dxa"/>
            <w:shd w:val="clear" w:color="000000" w:fill="FFFFFF" w:themeFill="background1"/>
            <w:vAlign w:val="center"/>
          </w:tcPr>
          <w:p>
            <w:pPr>
              <w:widowControl/>
              <w:jc w:val="center"/>
              <w:rPr>
                <w:rFonts w:ascii="Times New Roman" w:hAnsi="Times New Roman"/>
                <w:b/>
                <w:bCs/>
                <w:color w:val="000000"/>
                <w:kern w:val="0"/>
                <w:szCs w:val="21"/>
              </w:rPr>
            </w:pPr>
            <w:r>
              <w:rPr>
                <w:rFonts w:ascii="Times New Roman" w:hAnsi="Times New Roman"/>
                <w:b/>
                <w:bCs/>
                <w:color w:val="000000"/>
                <w:kern w:val="0"/>
                <w:szCs w:val="21"/>
              </w:rPr>
              <w:t>998</w:t>
            </w:r>
          </w:p>
        </w:tc>
        <w:tc>
          <w:tcPr>
            <w:tcW w:w="857" w:type="dxa"/>
            <w:shd w:val="clear" w:color="000000" w:fill="FFFFFF" w:themeFill="background1"/>
            <w:vAlign w:val="center"/>
          </w:tcPr>
          <w:p>
            <w:pPr>
              <w:widowControl/>
              <w:jc w:val="center"/>
              <w:rPr>
                <w:rFonts w:ascii="Times New Roman" w:hAnsi="Times New Roman"/>
                <w:b/>
                <w:bCs/>
                <w:color w:val="000000"/>
                <w:kern w:val="0"/>
                <w:szCs w:val="21"/>
              </w:rPr>
            </w:pPr>
            <w:r>
              <w:rPr>
                <w:rFonts w:ascii="Times New Roman" w:hAnsi="Times New Roman"/>
                <w:b/>
                <w:bCs/>
                <w:color w:val="000000"/>
                <w:kern w:val="0"/>
                <w:szCs w:val="21"/>
              </w:rPr>
              <w:t>2267</w:t>
            </w:r>
          </w:p>
        </w:tc>
        <w:tc>
          <w:tcPr>
            <w:tcW w:w="732" w:type="dxa"/>
            <w:shd w:val="clear" w:color="000000" w:fill="FFFFFF" w:themeFill="background1"/>
            <w:vAlign w:val="center"/>
          </w:tcPr>
          <w:p>
            <w:pPr>
              <w:widowControl/>
              <w:jc w:val="center"/>
              <w:rPr>
                <w:rFonts w:ascii="Times New Roman" w:hAnsi="Times New Roman"/>
                <w:b/>
                <w:bCs/>
                <w:color w:val="000000"/>
                <w:kern w:val="0"/>
                <w:szCs w:val="21"/>
              </w:rPr>
            </w:pPr>
            <w:r>
              <w:rPr>
                <w:rFonts w:ascii="Times New Roman" w:hAnsi="Times New Roman"/>
                <w:b/>
                <w:bCs/>
                <w:color w:val="000000"/>
                <w:kern w:val="0"/>
                <w:szCs w:val="21"/>
              </w:rPr>
              <w:t>324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9038" w:type="dxa"/>
            <w:gridSpan w:val="10"/>
            <w:shd w:val="clear" w:color="000000" w:fill="FFFFFF" w:themeFill="background1"/>
            <w:vAlign w:val="center"/>
          </w:tcPr>
          <w:p>
            <w:pPr>
              <w:widowControl/>
              <w:jc w:val="left"/>
              <w:rPr>
                <w:rFonts w:ascii="Times New Roman" w:hAnsi="Times New Roman"/>
                <w:b/>
                <w:bCs/>
                <w:color w:val="FF0000"/>
                <w:kern w:val="0"/>
                <w:szCs w:val="21"/>
              </w:rPr>
            </w:pPr>
            <w:r>
              <w:rPr>
                <w:rFonts w:hint="eastAsia" w:ascii="Times New Roman" w:hAnsi="Times New Roman"/>
                <w:b/>
                <w:bCs/>
                <w:color w:val="FF0000"/>
                <w:kern w:val="0"/>
                <w:szCs w:val="21"/>
              </w:rPr>
              <w:t>注：</w:t>
            </w:r>
            <w:r>
              <w:rPr>
                <w:rFonts w:ascii="Times New Roman" w:hAnsi="Times New Roman"/>
                <w:b/>
                <w:bCs/>
                <w:color w:val="FF0000"/>
                <w:kern w:val="0"/>
                <w:szCs w:val="21"/>
              </w:rPr>
              <w:t>绿色单元格内容表示本专业女生人数超过男生。</w:t>
            </w:r>
          </w:p>
        </w:tc>
      </w:tr>
    </w:tbl>
    <w:p>
      <w:pPr>
        <w:spacing w:line="500" w:lineRule="exact"/>
        <w:ind w:firstLine="480" w:firstLineChars="200"/>
        <w:rPr>
          <w:rFonts w:ascii="宋体" w:hAnsi="宋体"/>
          <w:sz w:val="24"/>
          <w:szCs w:val="24"/>
        </w:rPr>
      </w:pPr>
      <w:r>
        <w:rPr>
          <w:rFonts w:hint="eastAsia" w:ascii="宋体" w:hAnsi="宋体"/>
          <w:sz w:val="24"/>
          <w:szCs w:val="24"/>
        </w:rPr>
        <w:t>按照教育部有关规定，我院</w:t>
      </w:r>
      <w:r>
        <w:rPr>
          <w:rFonts w:ascii="宋体" w:hAnsi="宋体"/>
          <w:sz w:val="24"/>
          <w:szCs w:val="24"/>
        </w:rPr>
        <w:t>2018</w:t>
      </w:r>
      <w:r>
        <w:rPr>
          <w:rFonts w:hint="eastAsia" w:ascii="宋体" w:hAnsi="宋体"/>
          <w:sz w:val="24"/>
          <w:szCs w:val="24"/>
        </w:rPr>
        <w:t>届毕业生专业可划分为三个专业大类，即农林类、工程类、信息类。其中农林类包括畜牧（设施养殖）、畜牧</w:t>
      </w:r>
      <w:r>
        <w:rPr>
          <w:rFonts w:ascii="宋体" w:hAnsi="宋体"/>
          <w:sz w:val="24"/>
          <w:szCs w:val="24"/>
        </w:rPr>
        <w:t>(</w:t>
      </w:r>
      <w:r>
        <w:rPr>
          <w:rFonts w:hint="eastAsia" w:ascii="宋体" w:hAnsi="宋体"/>
          <w:sz w:val="24"/>
          <w:szCs w:val="24"/>
        </w:rPr>
        <w:t>生态养殖</w:t>
      </w:r>
      <w:r>
        <w:rPr>
          <w:rFonts w:ascii="宋体" w:hAnsi="宋体"/>
          <w:sz w:val="24"/>
          <w:szCs w:val="24"/>
        </w:rPr>
        <w:t>)</w:t>
      </w:r>
      <w:r>
        <w:rPr>
          <w:rFonts w:hint="eastAsia" w:ascii="宋体" w:hAnsi="宋体"/>
          <w:sz w:val="24"/>
          <w:szCs w:val="24"/>
        </w:rPr>
        <w:t>、畜牧（特种动物养殖）、畜牧兽医、畜牧兽医（动物产品营销）、畜牧兽医（饲料与动物营养）、畜牧兽医</w:t>
      </w:r>
      <w:r>
        <w:rPr>
          <w:rFonts w:ascii="宋体" w:hAnsi="宋体"/>
          <w:sz w:val="24"/>
          <w:szCs w:val="24"/>
        </w:rPr>
        <w:t>(</w:t>
      </w:r>
      <w:r>
        <w:rPr>
          <w:rFonts w:hint="eastAsia" w:ascii="宋体" w:hAnsi="宋体"/>
          <w:sz w:val="24"/>
          <w:szCs w:val="24"/>
        </w:rPr>
        <w:t>牛羊生产</w:t>
      </w:r>
      <w:r>
        <w:rPr>
          <w:rFonts w:ascii="宋体" w:hAnsi="宋体"/>
          <w:sz w:val="24"/>
          <w:szCs w:val="24"/>
        </w:rPr>
        <w:t>)</w:t>
      </w:r>
      <w:r>
        <w:rPr>
          <w:rFonts w:hint="eastAsia" w:ascii="宋体" w:hAnsi="宋体"/>
          <w:sz w:val="24"/>
          <w:szCs w:val="24"/>
        </w:rPr>
        <w:t>、畜牧兽医</w:t>
      </w:r>
      <w:r>
        <w:rPr>
          <w:rFonts w:ascii="宋体" w:hAnsi="宋体"/>
          <w:sz w:val="24"/>
          <w:szCs w:val="24"/>
        </w:rPr>
        <w:t>(</w:t>
      </w:r>
      <w:r>
        <w:rPr>
          <w:rFonts w:hint="eastAsia" w:ascii="宋体" w:hAnsi="宋体"/>
          <w:sz w:val="24"/>
          <w:szCs w:val="24"/>
        </w:rPr>
        <w:t>猪禽生产</w:t>
      </w:r>
      <w:r>
        <w:rPr>
          <w:rFonts w:ascii="宋体" w:hAnsi="宋体"/>
          <w:sz w:val="24"/>
          <w:szCs w:val="24"/>
        </w:rPr>
        <w:t>)</w:t>
      </w:r>
      <w:r>
        <w:rPr>
          <w:rFonts w:hint="eastAsia" w:ascii="宋体" w:hAnsi="宋体"/>
          <w:sz w:val="24"/>
          <w:szCs w:val="24"/>
        </w:rPr>
        <w:t>、兽医、动物防疫与检疫、兽药生产与营销、生物技术及应用、畜牧兽医</w:t>
      </w:r>
      <w:r>
        <w:rPr>
          <w:rFonts w:ascii="宋体" w:hAnsi="宋体"/>
          <w:sz w:val="24"/>
          <w:szCs w:val="24"/>
        </w:rPr>
        <w:t>、畜牧兽医</w:t>
      </w:r>
      <w:r>
        <w:rPr>
          <w:rFonts w:hint="eastAsia" w:ascii="宋体" w:hAnsi="宋体"/>
          <w:sz w:val="24"/>
          <w:szCs w:val="24"/>
        </w:rPr>
        <w:t>（</w:t>
      </w:r>
      <w:r>
        <w:rPr>
          <w:rFonts w:ascii="宋体" w:hAnsi="宋体"/>
          <w:sz w:val="24"/>
          <w:szCs w:val="24"/>
        </w:rPr>
        <w:t>兽医）</w:t>
      </w:r>
      <w:r>
        <w:rPr>
          <w:rFonts w:hint="eastAsia" w:ascii="宋体" w:hAnsi="宋体"/>
          <w:sz w:val="24"/>
          <w:szCs w:val="24"/>
        </w:rPr>
        <w:t>、农产品质量检测、葡萄与葡萄酒工程、食品加工技术、食品生物技术、食品营养与检测、园艺技术</w:t>
      </w:r>
      <w:r>
        <w:rPr>
          <w:rFonts w:ascii="宋体" w:hAnsi="宋体"/>
          <w:sz w:val="24"/>
          <w:szCs w:val="24"/>
        </w:rPr>
        <w:t>(</w:t>
      </w:r>
      <w:r>
        <w:rPr>
          <w:rFonts w:hint="eastAsia" w:ascii="宋体" w:hAnsi="宋体"/>
          <w:sz w:val="24"/>
          <w:szCs w:val="24"/>
        </w:rPr>
        <w:t>葡萄栽培技术</w:t>
      </w:r>
      <w:r>
        <w:rPr>
          <w:rFonts w:ascii="宋体" w:hAnsi="宋体"/>
          <w:sz w:val="24"/>
          <w:szCs w:val="24"/>
        </w:rPr>
        <w:t>)</w:t>
      </w:r>
      <w:r>
        <w:rPr>
          <w:rFonts w:hint="eastAsia" w:ascii="宋体" w:hAnsi="宋体"/>
          <w:sz w:val="24"/>
          <w:szCs w:val="24"/>
        </w:rPr>
        <w:t>等</w:t>
      </w:r>
      <w:r>
        <w:rPr>
          <w:rFonts w:ascii="宋体" w:hAnsi="宋体"/>
          <w:sz w:val="24"/>
          <w:szCs w:val="24"/>
        </w:rPr>
        <w:t>18</w:t>
      </w:r>
      <w:r>
        <w:rPr>
          <w:rFonts w:hint="eastAsia" w:ascii="宋体" w:hAnsi="宋体"/>
          <w:sz w:val="24"/>
          <w:szCs w:val="24"/>
        </w:rPr>
        <w:t>个专业；工程类包括农业机械制造与装配、电气自动化技术</w:t>
      </w:r>
      <w:r>
        <w:rPr>
          <w:rFonts w:ascii="宋体" w:hAnsi="宋体"/>
          <w:sz w:val="24"/>
          <w:szCs w:val="24"/>
        </w:rPr>
        <w:t>(</w:t>
      </w:r>
      <w:r>
        <w:rPr>
          <w:rFonts w:hint="eastAsia" w:ascii="宋体" w:hAnsi="宋体"/>
          <w:sz w:val="24"/>
          <w:szCs w:val="24"/>
        </w:rPr>
        <w:t>电气控制</w:t>
      </w:r>
      <w:r>
        <w:rPr>
          <w:rFonts w:ascii="宋体" w:hAnsi="宋体"/>
          <w:sz w:val="24"/>
          <w:szCs w:val="24"/>
        </w:rPr>
        <w:t>)</w:t>
      </w:r>
      <w:r>
        <w:rPr>
          <w:rFonts w:hint="eastAsia" w:ascii="宋体" w:hAnsi="宋体"/>
          <w:sz w:val="24"/>
          <w:szCs w:val="24"/>
        </w:rPr>
        <w:t>、电气自动化技术（风力发电</w:t>
      </w:r>
      <w:r>
        <w:rPr>
          <w:rFonts w:ascii="宋体" w:hAnsi="宋体"/>
          <w:sz w:val="24"/>
          <w:szCs w:val="24"/>
        </w:rPr>
        <w:t>)</w:t>
      </w:r>
      <w:r>
        <w:rPr>
          <w:rFonts w:hint="eastAsia" w:ascii="宋体" w:hAnsi="宋体"/>
          <w:sz w:val="24"/>
          <w:szCs w:val="24"/>
        </w:rPr>
        <w:t>、工程机械运用与维护、焊接技术及自动化、机械设计与制造、机械制造与自动化、机械制造与自动化</w:t>
      </w:r>
      <w:r>
        <w:rPr>
          <w:rFonts w:ascii="宋体" w:hAnsi="宋体"/>
          <w:sz w:val="24"/>
          <w:szCs w:val="24"/>
        </w:rPr>
        <w:t>(</w:t>
      </w:r>
      <w:r>
        <w:rPr>
          <w:rFonts w:hint="eastAsia" w:ascii="宋体" w:hAnsi="宋体"/>
          <w:sz w:val="24"/>
          <w:szCs w:val="24"/>
        </w:rPr>
        <w:t>节水技术</w:t>
      </w:r>
      <w:r>
        <w:rPr>
          <w:rFonts w:ascii="宋体" w:hAnsi="宋体"/>
          <w:sz w:val="24"/>
          <w:szCs w:val="24"/>
        </w:rPr>
        <w:t>)</w:t>
      </w:r>
      <w:r>
        <w:rPr>
          <w:rFonts w:hint="eastAsia" w:ascii="宋体" w:hAnsi="宋体"/>
          <w:sz w:val="24"/>
          <w:szCs w:val="24"/>
        </w:rPr>
        <w:t>、模具设计与制造、材料成型与控制技术、数控技术、农业机械应用技术、汽车技术服务与营销、汽车检测与维修技术、汽车制造与装配技术、汽车电子技术、机电一体化技术、农村电气化技术等</w:t>
      </w:r>
      <w:r>
        <w:rPr>
          <w:rFonts w:ascii="宋体" w:hAnsi="宋体"/>
          <w:sz w:val="24"/>
          <w:szCs w:val="24"/>
        </w:rPr>
        <w:t>18</w:t>
      </w:r>
      <w:r>
        <w:rPr>
          <w:rFonts w:hint="eastAsia" w:ascii="宋体" w:hAnsi="宋体"/>
          <w:sz w:val="24"/>
          <w:szCs w:val="24"/>
        </w:rPr>
        <w:t>个专业；信息类包括电子信息工程技术、计算机应用技术、电子商务等</w:t>
      </w:r>
      <w:r>
        <w:rPr>
          <w:rFonts w:ascii="宋体" w:hAnsi="宋体"/>
          <w:sz w:val="24"/>
          <w:szCs w:val="24"/>
        </w:rPr>
        <w:t>3</w:t>
      </w:r>
      <w:r>
        <w:rPr>
          <w:rFonts w:hint="eastAsia" w:ascii="宋体" w:hAnsi="宋体"/>
          <w:sz w:val="24"/>
          <w:szCs w:val="24"/>
        </w:rPr>
        <w:t>个专业。农林类、工程类、信息类三个专业大类毕业生总数依次为</w:t>
      </w:r>
      <w:r>
        <w:rPr>
          <w:rFonts w:ascii="宋体" w:hAnsi="宋体"/>
          <w:sz w:val="24"/>
          <w:szCs w:val="24"/>
        </w:rPr>
        <w:t>1358</w:t>
      </w:r>
      <w:r>
        <w:rPr>
          <w:rFonts w:hint="eastAsia" w:ascii="宋体" w:hAnsi="宋体"/>
          <w:sz w:val="24"/>
          <w:szCs w:val="24"/>
        </w:rPr>
        <w:t>人、</w:t>
      </w:r>
      <w:r>
        <w:rPr>
          <w:rFonts w:ascii="宋体" w:hAnsi="宋体"/>
          <w:sz w:val="24"/>
          <w:szCs w:val="24"/>
        </w:rPr>
        <w:t>1054</w:t>
      </w:r>
      <w:r>
        <w:rPr>
          <w:rFonts w:hint="eastAsia" w:ascii="宋体" w:hAnsi="宋体"/>
          <w:sz w:val="24"/>
          <w:szCs w:val="24"/>
        </w:rPr>
        <w:t>人、</w:t>
      </w:r>
      <w:r>
        <w:rPr>
          <w:rFonts w:ascii="宋体" w:hAnsi="宋体"/>
          <w:sz w:val="24"/>
          <w:szCs w:val="24"/>
        </w:rPr>
        <w:t>179</w:t>
      </w:r>
      <w:r>
        <w:rPr>
          <w:rFonts w:hint="eastAsia" w:ascii="宋体" w:hAnsi="宋体"/>
          <w:sz w:val="24"/>
          <w:szCs w:val="24"/>
        </w:rPr>
        <w:t>人，各占应届毕业生总数的</w:t>
      </w:r>
      <w:r>
        <w:rPr>
          <w:rFonts w:ascii="宋体" w:hAnsi="宋体"/>
          <w:sz w:val="24"/>
          <w:szCs w:val="24"/>
        </w:rPr>
        <w:t>52.41%</w:t>
      </w:r>
      <w:r>
        <w:rPr>
          <w:rFonts w:hint="eastAsia" w:ascii="宋体" w:hAnsi="宋体"/>
          <w:sz w:val="24"/>
          <w:szCs w:val="24"/>
        </w:rPr>
        <w:t>、</w:t>
      </w:r>
      <w:r>
        <w:rPr>
          <w:rFonts w:ascii="宋体" w:hAnsi="宋体"/>
          <w:sz w:val="24"/>
          <w:szCs w:val="24"/>
        </w:rPr>
        <w:t>40.68%</w:t>
      </w:r>
      <w:r>
        <w:rPr>
          <w:rFonts w:hint="eastAsia" w:ascii="宋体" w:hAnsi="宋体"/>
          <w:sz w:val="24"/>
          <w:szCs w:val="24"/>
        </w:rPr>
        <w:t>、</w:t>
      </w:r>
      <w:r>
        <w:rPr>
          <w:rFonts w:ascii="宋体" w:hAnsi="宋体"/>
          <w:sz w:val="24"/>
          <w:szCs w:val="24"/>
        </w:rPr>
        <w:t>6.91%</w:t>
      </w:r>
      <w:r>
        <w:rPr>
          <w:rFonts w:hint="eastAsia" w:ascii="宋体" w:hAnsi="宋体"/>
          <w:sz w:val="24"/>
          <w:szCs w:val="24"/>
        </w:rPr>
        <w:t>。</w:t>
      </w:r>
    </w:p>
    <w:p>
      <w:pPr>
        <w:pStyle w:val="3"/>
        <w:spacing w:before="0" w:after="0" w:line="500" w:lineRule="exact"/>
        <w:ind w:firstLine="643" w:firstLineChars="200"/>
      </w:pPr>
      <w:bookmarkStart w:id="11" w:name="_Toc533861906"/>
      <w:bookmarkStart w:id="12" w:name="_Toc438627722"/>
      <w:r>
        <w:rPr>
          <w:rFonts w:hint="eastAsia"/>
        </w:rPr>
        <w:t>二、毕业生结构</w:t>
      </w:r>
      <w:bookmarkEnd w:id="11"/>
      <w:bookmarkEnd w:id="12"/>
    </w:p>
    <w:p>
      <w:pPr>
        <w:pStyle w:val="4"/>
        <w:spacing w:before="0" w:after="0" w:line="500" w:lineRule="exact"/>
        <w:ind w:firstLine="562" w:firstLineChars="200"/>
        <w:rPr>
          <w:sz w:val="28"/>
          <w:szCs w:val="28"/>
        </w:rPr>
      </w:pPr>
      <w:bookmarkStart w:id="13" w:name="_Toc438627723"/>
      <w:bookmarkStart w:id="14" w:name="_Toc533861907"/>
      <w:r>
        <w:rPr>
          <w:rFonts w:hint="eastAsia"/>
          <w:sz w:val="28"/>
          <w:szCs w:val="28"/>
        </w:rPr>
        <w:t>（一）</w:t>
      </w:r>
      <w:bookmarkEnd w:id="13"/>
      <w:r>
        <w:rPr>
          <w:rFonts w:hint="eastAsia"/>
          <w:sz w:val="28"/>
          <w:szCs w:val="28"/>
        </w:rPr>
        <w:t>来源结构</w:t>
      </w:r>
      <w:bookmarkEnd w:id="14"/>
    </w:p>
    <w:p>
      <w:pPr>
        <w:spacing w:after="156" w:afterLines="50" w:line="480" w:lineRule="exact"/>
        <w:ind w:firstLine="480" w:firstLineChars="200"/>
        <w:rPr>
          <w:rFonts w:ascii="宋体" w:hAnsi="宋体"/>
          <w:sz w:val="24"/>
        </w:rPr>
      </w:pPr>
      <w:r>
        <w:rPr>
          <w:rFonts w:hint="eastAsia" w:ascii="宋体" w:hAnsi="宋体"/>
          <w:sz w:val="24"/>
        </w:rPr>
        <w:t>我院</w:t>
      </w:r>
      <w:r>
        <w:rPr>
          <w:rFonts w:ascii="宋体" w:hAnsi="宋体"/>
          <w:sz w:val="24"/>
        </w:rPr>
        <w:t>2018</w:t>
      </w:r>
      <w:r>
        <w:rPr>
          <w:rFonts w:hint="eastAsia" w:ascii="宋体" w:hAnsi="宋体"/>
          <w:sz w:val="24"/>
        </w:rPr>
        <w:t>届毕业生分普通高中生和三校生两类。其中普通高中生</w:t>
      </w:r>
      <w:r>
        <w:rPr>
          <w:rFonts w:ascii="宋体" w:hAnsi="宋体"/>
          <w:sz w:val="24"/>
        </w:rPr>
        <w:t>1772</w:t>
      </w:r>
      <w:r>
        <w:rPr>
          <w:rFonts w:hint="eastAsia" w:ascii="宋体" w:hAnsi="宋体"/>
          <w:sz w:val="24"/>
        </w:rPr>
        <w:t>人，占应届毕业生总数的</w:t>
      </w:r>
      <w:r>
        <w:rPr>
          <w:rFonts w:ascii="宋体" w:hAnsi="宋体"/>
          <w:sz w:val="24"/>
        </w:rPr>
        <w:t>68.39%</w:t>
      </w:r>
      <w:r>
        <w:rPr>
          <w:rFonts w:hint="eastAsia" w:ascii="宋体" w:hAnsi="宋体"/>
          <w:sz w:val="24"/>
        </w:rPr>
        <w:t>，三校生</w:t>
      </w:r>
      <w:r>
        <w:rPr>
          <w:rFonts w:ascii="宋体" w:hAnsi="宋体"/>
          <w:sz w:val="24"/>
        </w:rPr>
        <w:t>819</w:t>
      </w:r>
      <w:r>
        <w:rPr>
          <w:rFonts w:hint="eastAsia" w:ascii="宋体" w:hAnsi="宋体"/>
          <w:sz w:val="24"/>
        </w:rPr>
        <w:t>人，占应届毕业生总数的</w:t>
      </w:r>
      <w:r>
        <w:rPr>
          <w:rFonts w:ascii="宋体" w:hAnsi="宋体"/>
          <w:sz w:val="24"/>
        </w:rPr>
        <w:t>31.61%</w:t>
      </w:r>
      <w:r>
        <w:rPr>
          <w:rFonts w:hint="eastAsia" w:ascii="宋体" w:hAnsi="宋体"/>
          <w:sz w:val="24"/>
        </w:rPr>
        <w:t>（表</w:t>
      </w:r>
      <w:r>
        <w:rPr>
          <w:rFonts w:ascii="宋体" w:hAnsi="宋体"/>
          <w:sz w:val="24"/>
        </w:rPr>
        <w:t>1-2</w:t>
      </w:r>
      <w:r>
        <w:rPr>
          <w:rFonts w:hint="eastAsia" w:ascii="宋体" w:hAnsi="宋体"/>
          <w:sz w:val="24"/>
        </w:rPr>
        <w:t>，图</w:t>
      </w:r>
      <w:r>
        <w:rPr>
          <w:rFonts w:ascii="宋体" w:hAnsi="宋体"/>
          <w:sz w:val="24"/>
        </w:rPr>
        <w:t>1-2</w:t>
      </w:r>
      <w:r>
        <w:rPr>
          <w:rFonts w:hint="eastAsia" w:ascii="宋体" w:hAnsi="宋体"/>
          <w:sz w:val="24"/>
        </w:rPr>
        <w:t>）。</w:t>
      </w:r>
    </w:p>
    <w:tbl>
      <w:tblPr>
        <w:tblStyle w:val="20"/>
        <w:tblW w:w="8341"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3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4254" w:hRule="atLeast"/>
          <w:jc w:val="center"/>
        </w:trPr>
        <w:tc>
          <w:tcPr>
            <w:tcW w:w="8341" w:type="dxa"/>
          </w:tcPr>
          <w:p>
            <w:pPr>
              <w:spacing w:line="520" w:lineRule="exact"/>
              <w:ind w:right="-2530" w:rightChars="-1205"/>
              <w:rPr>
                <w:rFonts w:ascii="宋体" w:hAnsi="宋体"/>
                <w:sz w:val="24"/>
              </w:rPr>
            </w:pPr>
            <w:r>
              <w:rPr>
                <w:rFonts w:hint="eastAsia" w:ascii="宋体" w:hAnsi="宋体"/>
                <w:sz w:val="24"/>
              </w:rPr>
              <mc:AlternateContent>
                <mc:Choice Requires="wps">
                  <w:drawing>
                    <wp:anchor distT="0" distB="0" distL="114300" distR="114300" simplePos="0" relativeHeight="251723776" behindDoc="0" locked="0" layoutInCell="1" allowOverlap="1">
                      <wp:simplePos x="0" y="0"/>
                      <wp:positionH relativeFrom="column">
                        <wp:posOffset>1255395</wp:posOffset>
                      </wp:positionH>
                      <wp:positionV relativeFrom="paragraph">
                        <wp:posOffset>2748280</wp:posOffset>
                      </wp:positionV>
                      <wp:extent cx="2759075" cy="262255"/>
                      <wp:effectExtent l="0" t="0" r="0" b="4445"/>
                      <wp:wrapNone/>
                      <wp:docPr id="14" name="文本框 14"/>
                      <wp:cNvGraphicFramePr/>
                      <a:graphic xmlns:a="http://schemas.openxmlformats.org/drawingml/2006/main">
                        <a:graphicData uri="http://schemas.microsoft.com/office/word/2010/wordprocessingShape">
                          <wps:wsp>
                            <wps:cNvSpPr txBox="1"/>
                            <wps:spPr>
                              <a:xfrm>
                                <a:off x="0" y="0"/>
                                <a:ext cx="2759075" cy="262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tabs>
                                      <w:tab w:val="left" w:pos="3030"/>
                                      <w:tab w:val="center" w:pos="4422"/>
                                    </w:tabs>
                                    <w:jc w:val="center"/>
                                    <w:rPr>
                                      <w:rFonts w:ascii="宋体" w:hAnsi="宋体"/>
                                      <w:sz w:val="24"/>
                                    </w:rPr>
                                  </w:pPr>
                                  <w:r>
                                    <w:rPr>
                                      <w:rFonts w:hint="eastAsia"/>
                                      <w:b/>
                                      <w:szCs w:val="21"/>
                                    </w:rPr>
                                    <w:t>图</w:t>
                                  </w:r>
                                  <w:r>
                                    <w:rPr>
                                      <w:rFonts w:asciiTheme="minorEastAsia" w:hAnsiTheme="minorEastAsia" w:eastAsiaTheme="minorEastAsia"/>
                                      <w:b/>
                                      <w:szCs w:val="21"/>
                                    </w:rPr>
                                    <w:t>1-2</w:t>
                                  </w:r>
                                  <w:r>
                                    <w:rPr>
                                      <w:b/>
                                      <w:szCs w:val="21"/>
                                    </w:rPr>
                                    <w:t xml:space="preserve">  </w:t>
                                  </w:r>
                                  <w:r>
                                    <w:rPr>
                                      <w:rFonts w:hint="eastAsia"/>
                                      <w:b/>
                                      <w:szCs w:val="21"/>
                                    </w:rPr>
                                    <w:t>来源结构及比例</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85pt;margin-top:216.4pt;height:20.65pt;width:217.25pt;z-index:251723776;mso-width-relative:page;mso-height-relative:page;" filled="f" stroked="f" coordsize="21600,21600" o:gfxdata="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MktCWNwAAAALAQAADwAAAAAAAAABACAAAAAiAAAAZHJzL2Rvd25yZXYueG1sUEsBAhQAFAAA&#10;AAgAh07iQIPIgKAkAgAAKAQAAA4AAAAAAAAAAQAgAAAAKwEAAGRycy9lMm9Eb2MueG1sUEsFBgAA&#10;AAAGAAYAWQEAAMEFAAAAAA==&#10;">
                      <v:fill on="f" focussize="0,0"/>
                      <v:stroke on="f" weight="0.5pt"/>
                      <v:imagedata o:title=""/>
                      <o:lock v:ext="edit" aspectratio="f"/>
                      <v:textbox>
                        <w:txbxContent>
                          <w:p>
                            <w:pPr>
                              <w:tabs>
                                <w:tab w:val="left" w:pos="3030"/>
                                <w:tab w:val="center" w:pos="4422"/>
                              </w:tabs>
                              <w:jc w:val="center"/>
                              <w:rPr>
                                <w:rFonts w:ascii="宋体" w:hAnsi="宋体"/>
                                <w:sz w:val="24"/>
                              </w:rPr>
                            </w:pPr>
                            <w:r>
                              <w:rPr>
                                <w:rFonts w:hint="eastAsia"/>
                                <w:b/>
                                <w:szCs w:val="21"/>
                              </w:rPr>
                              <w:t>图</w:t>
                            </w:r>
                            <w:r>
                              <w:rPr>
                                <w:rFonts w:asciiTheme="minorEastAsia" w:hAnsiTheme="minorEastAsia" w:eastAsiaTheme="minorEastAsia"/>
                                <w:b/>
                                <w:szCs w:val="21"/>
                              </w:rPr>
                              <w:t>1-2</w:t>
                            </w:r>
                            <w:r>
                              <w:rPr>
                                <w:b/>
                                <w:szCs w:val="21"/>
                              </w:rPr>
                              <w:t xml:space="preserve">  </w:t>
                            </w:r>
                            <w:r>
                              <w:rPr>
                                <w:rFonts w:hint="eastAsia"/>
                                <w:b/>
                                <w:szCs w:val="21"/>
                              </w:rPr>
                              <w:t>来源结构及比例</w:t>
                            </w:r>
                          </w:p>
                          <w:p/>
                        </w:txbxContent>
                      </v:textbox>
                    </v:shape>
                  </w:pict>
                </mc:Fallback>
              </mc:AlternateContent>
            </w:r>
            <w:r>
              <w:rPr>
                <w:rFonts w:hint="eastAsia" w:ascii="宋体" w:hAnsi="宋体"/>
                <w:sz w:val="24"/>
              </w:rPr>
              <w:drawing>
                <wp:anchor distT="0" distB="0" distL="114300" distR="114300" simplePos="0" relativeHeight="251722752" behindDoc="0" locked="0" layoutInCell="1" allowOverlap="1">
                  <wp:simplePos x="0" y="0"/>
                  <wp:positionH relativeFrom="margin">
                    <wp:posOffset>564515</wp:posOffset>
                  </wp:positionH>
                  <wp:positionV relativeFrom="paragraph">
                    <wp:posOffset>5715</wp:posOffset>
                  </wp:positionV>
                  <wp:extent cx="4229735" cy="2671445"/>
                  <wp:effectExtent l="0" t="0" r="18415" b="14605"/>
                  <wp:wrapTopAndBottom/>
                  <wp:docPr id="26" name="图表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tc>
      </w:tr>
    </w:tbl>
    <w:p>
      <w:pPr>
        <w:pStyle w:val="4"/>
        <w:spacing w:before="0" w:after="0" w:line="500" w:lineRule="exact"/>
        <w:ind w:firstLine="562" w:firstLineChars="200"/>
        <w:rPr>
          <w:sz w:val="28"/>
          <w:szCs w:val="28"/>
        </w:rPr>
      </w:pPr>
      <w:bookmarkStart w:id="15" w:name="_Toc438627724"/>
      <w:bookmarkStart w:id="16" w:name="_Toc533861908"/>
      <w:r>
        <w:rPr>
          <w:rFonts w:hint="eastAsia"/>
          <w:sz w:val="28"/>
          <w:szCs w:val="28"/>
        </w:rPr>
        <w:t>（二）民族</w:t>
      </w:r>
      <w:bookmarkEnd w:id="15"/>
      <w:r>
        <w:rPr>
          <w:rFonts w:hint="eastAsia"/>
          <w:sz w:val="28"/>
          <w:szCs w:val="28"/>
        </w:rPr>
        <w:t>结构</w:t>
      </w:r>
      <w:bookmarkEnd w:id="16"/>
    </w:p>
    <w:p>
      <w:pPr>
        <w:spacing w:line="500" w:lineRule="exact"/>
        <w:ind w:firstLine="480" w:firstLineChars="200"/>
        <w:rPr>
          <w:rFonts w:ascii="宋体" w:hAnsi="宋体"/>
          <w:sz w:val="24"/>
        </w:rPr>
      </w:pPr>
      <w:r>
        <w:rPr>
          <w:rFonts w:hint="eastAsia" w:ascii="宋体" w:hAnsi="宋体"/>
          <w:sz w:val="24"/>
        </w:rPr>
        <w:t>近年来我院生源结构发生了较大的变化，少数民族生源逐年增多。</w:t>
      </w:r>
      <w:r>
        <w:rPr>
          <w:rFonts w:ascii="宋体" w:hAnsi="宋体"/>
          <w:sz w:val="24"/>
        </w:rPr>
        <w:t>2018</w:t>
      </w:r>
      <w:r>
        <w:rPr>
          <w:rFonts w:hint="eastAsia" w:ascii="宋体" w:hAnsi="宋体"/>
          <w:sz w:val="24"/>
        </w:rPr>
        <w:t>届汉族毕业生</w:t>
      </w:r>
      <w:r>
        <w:rPr>
          <w:rFonts w:ascii="宋体" w:hAnsi="宋体"/>
          <w:sz w:val="24"/>
        </w:rPr>
        <w:t>2267</w:t>
      </w:r>
      <w:r>
        <w:rPr>
          <w:rFonts w:hint="eastAsia" w:ascii="宋体" w:hAnsi="宋体"/>
          <w:sz w:val="24"/>
        </w:rPr>
        <w:t>人，占应届毕业生总数的</w:t>
      </w:r>
      <w:r>
        <w:rPr>
          <w:rFonts w:ascii="宋体" w:hAnsi="宋体"/>
          <w:sz w:val="24"/>
        </w:rPr>
        <w:t>87.50%</w:t>
      </w:r>
      <w:r>
        <w:rPr>
          <w:rFonts w:hint="eastAsia" w:ascii="宋体" w:hAnsi="宋体"/>
          <w:sz w:val="24"/>
        </w:rPr>
        <w:t>，少数民族毕业生共</w:t>
      </w:r>
      <w:r>
        <w:rPr>
          <w:rFonts w:ascii="宋体" w:hAnsi="宋体"/>
          <w:sz w:val="24"/>
        </w:rPr>
        <w:t>324</w:t>
      </w:r>
      <w:r>
        <w:rPr>
          <w:rFonts w:hint="eastAsia" w:ascii="宋体" w:hAnsi="宋体"/>
          <w:sz w:val="24"/>
        </w:rPr>
        <w:t>人，占应届毕业生总数的</w:t>
      </w:r>
      <w:r>
        <w:rPr>
          <w:rFonts w:ascii="宋体" w:hAnsi="宋体"/>
          <w:sz w:val="24"/>
        </w:rPr>
        <w:t>12.50%</w:t>
      </w:r>
      <w:r>
        <w:rPr>
          <w:rFonts w:hint="eastAsia" w:ascii="宋体" w:hAnsi="宋体"/>
          <w:sz w:val="24"/>
        </w:rPr>
        <w:t>。少数民族毕业生中藏族、回族和东乡族数量最多，分别为</w:t>
      </w:r>
      <w:r>
        <w:rPr>
          <w:rFonts w:ascii="宋体" w:hAnsi="宋体"/>
          <w:sz w:val="24"/>
        </w:rPr>
        <w:t>194</w:t>
      </w:r>
      <w:r>
        <w:rPr>
          <w:rFonts w:hint="eastAsia" w:ascii="宋体" w:hAnsi="宋体"/>
          <w:sz w:val="24"/>
        </w:rPr>
        <w:t>人、</w:t>
      </w:r>
      <w:r>
        <w:rPr>
          <w:rFonts w:ascii="宋体" w:hAnsi="宋体"/>
          <w:sz w:val="24"/>
        </w:rPr>
        <w:t>75</w:t>
      </w:r>
      <w:r>
        <w:rPr>
          <w:rFonts w:hint="eastAsia" w:ascii="宋体" w:hAnsi="宋体"/>
          <w:sz w:val="24"/>
        </w:rPr>
        <w:t>人、</w:t>
      </w:r>
      <w:r>
        <w:rPr>
          <w:rFonts w:ascii="宋体" w:hAnsi="宋体"/>
          <w:sz w:val="24"/>
        </w:rPr>
        <w:t>29</w:t>
      </w:r>
      <w:r>
        <w:rPr>
          <w:rFonts w:hint="eastAsia" w:ascii="宋体" w:hAnsi="宋体"/>
          <w:sz w:val="24"/>
        </w:rPr>
        <w:t>人，各占应届毕业生总数的</w:t>
      </w:r>
      <w:r>
        <w:rPr>
          <w:rFonts w:ascii="宋体" w:hAnsi="宋体"/>
          <w:sz w:val="24"/>
        </w:rPr>
        <w:t>7.50%</w:t>
      </w:r>
      <w:r>
        <w:rPr>
          <w:rFonts w:hint="eastAsia" w:ascii="宋体" w:hAnsi="宋体"/>
          <w:sz w:val="24"/>
        </w:rPr>
        <w:t>、</w:t>
      </w:r>
      <w:r>
        <w:rPr>
          <w:rFonts w:ascii="宋体" w:hAnsi="宋体"/>
          <w:sz w:val="24"/>
        </w:rPr>
        <w:t>2.90%</w:t>
      </w:r>
      <w:r>
        <w:rPr>
          <w:rFonts w:hint="eastAsia" w:ascii="宋体" w:hAnsi="宋体"/>
          <w:sz w:val="24"/>
        </w:rPr>
        <w:t>、</w:t>
      </w:r>
      <w:r>
        <w:rPr>
          <w:rFonts w:ascii="宋体" w:hAnsi="宋体"/>
          <w:sz w:val="24"/>
        </w:rPr>
        <w:t>1.10%</w:t>
      </w:r>
      <w:r>
        <w:rPr>
          <w:rFonts w:hint="eastAsia" w:ascii="宋体" w:hAnsi="宋体"/>
          <w:sz w:val="24"/>
        </w:rPr>
        <w:t>；其他少数民族毕业生包括满族、撒拉族、裕固族等</w:t>
      </w:r>
      <w:r>
        <w:rPr>
          <w:rFonts w:ascii="宋体" w:hAnsi="宋体"/>
          <w:sz w:val="24"/>
        </w:rPr>
        <w:t>7</w:t>
      </w:r>
      <w:r>
        <w:rPr>
          <w:rFonts w:hint="eastAsia" w:ascii="宋体" w:hAnsi="宋体"/>
          <w:sz w:val="24"/>
        </w:rPr>
        <w:t>个民族，共</w:t>
      </w:r>
      <w:r>
        <w:rPr>
          <w:rFonts w:ascii="宋体" w:hAnsi="宋体"/>
          <w:sz w:val="24"/>
        </w:rPr>
        <w:t>26</w:t>
      </w:r>
      <w:r>
        <w:rPr>
          <w:rFonts w:hint="eastAsia" w:ascii="宋体" w:hAnsi="宋体"/>
          <w:sz w:val="24"/>
        </w:rPr>
        <w:t>人，占应届毕业生总数的</w:t>
      </w:r>
      <w:r>
        <w:rPr>
          <w:rFonts w:ascii="宋体" w:hAnsi="宋体"/>
          <w:sz w:val="24"/>
        </w:rPr>
        <w:t>1.0%</w:t>
      </w:r>
      <w:r>
        <w:rPr>
          <w:rFonts w:hint="eastAsia" w:ascii="宋体" w:hAnsi="宋体"/>
          <w:sz w:val="24"/>
        </w:rPr>
        <w:t>（表</w:t>
      </w:r>
      <w:r>
        <w:rPr>
          <w:rFonts w:ascii="宋体" w:hAnsi="宋体"/>
          <w:sz w:val="24"/>
        </w:rPr>
        <w:t>1-2</w:t>
      </w:r>
      <w:r>
        <w:rPr>
          <w:rFonts w:hint="eastAsia" w:ascii="宋体" w:hAnsi="宋体"/>
          <w:sz w:val="24"/>
        </w:rPr>
        <w:t>，图</w:t>
      </w:r>
      <w:r>
        <w:rPr>
          <w:rFonts w:ascii="宋体" w:hAnsi="宋体"/>
          <w:sz w:val="24"/>
        </w:rPr>
        <w:t>1-3</w:t>
      </w:r>
      <w:r>
        <w:rPr>
          <w:rFonts w:hint="eastAsia" w:ascii="宋体" w:hAnsi="宋体"/>
          <w:sz w:val="24"/>
        </w:rPr>
        <w:t>）。</w:t>
      </w:r>
    </w:p>
    <w:tbl>
      <w:tblPr>
        <w:tblStyle w:val="20"/>
        <w:tblW w:w="90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0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70" w:hRule="atLeast"/>
        </w:trPr>
        <w:tc>
          <w:tcPr>
            <w:tcW w:w="9060" w:type="dxa"/>
          </w:tcPr>
          <w:p>
            <w:pPr>
              <w:spacing w:line="480" w:lineRule="exact"/>
              <w:rPr>
                <w:rFonts w:ascii="宋体" w:hAnsi="宋体"/>
                <w:sz w:val="24"/>
              </w:rPr>
            </w:pPr>
            <w:r>
              <w:rPr>
                <w:rFonts w:ascii="宋体" w:hAnsi="宋体" w:cs="宋体"/>
                <w:kern w:val="0"/>
                <w:sz w:val="24"/>
                <w:szCs w:val="24"/>
              </w:rPr>
              <w:drawing>
                <wp:anchor distT="0" distB="0" distL="114300" distR="114300" simplePos="0" relativeHeight="251693056" behindDoc="0" locked="0" layoutInCell="1" allowOverlap="1">
                  <wp:simplePos x="0" y="0"/>
                  <wp:positionH relativeFrom="column">
                    <wp:posOffset>581025</wp:posOffset>
                  </wp:positionH>
                  <wp:positionV relativeFrom="paragraph">
                    <wp:posOffset>96520</wp:posOffset>
                  </wp:positionV>
                  <wp:extent cx="4454525" cy="3180080"/>
                  <wp:effectExtent l="0" t="0" r="3175" b="1270"/>
                  <wp:wrapSquare wrapText="bothSides"/>
                  <wp:docPr id="27" name="图片 27" descr="C:\Users\acer\AppData\Roaming\Tencent\Users\276695188\QQ\WinTemp\RichOle\[{P(MT{@0X~A6LWV]`912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cer\AppData\Roaming\Tencent\Users\276695188\QQ\WinTemp\RichOle\[{P(MT{@0X~A6LWV]`9126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454525" cy="318008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7" w:hRule="exact"/>
        </w:trPr>
        <w:tc>
          <w:tcPr>
            <w:tcW w:w="9060" w:type="dxa"/>
            <w:vAlign w:val="center"/>
          </w:tcPr>
          <w:p>
            <w:pPr>
              <w:jc w:val="center"/>
              <w:rPr>
                <w:rFonts w:ascii="宋体" w:hAnsi="宋体"/>
                <w:sz w:val="24"/>
              </w:rPr>
            </w:pPr>
            <w:r>
              <w:rPr>
                <w:rFonts w:hint="eastAsia" w:asciiTheme="minorEastAsia" w:hAnsiTheme="minorEastAsia" w:eastAsiaTheme="minorEastAsia"/>
                <w:b/>
                <w:szCs w:val="21"/>
              </w:rPr>
              <w:t>图</w:t>
            </w:r>
            <w:r>
              <w:rPr>
                <w:rFonts w:asciiTheme="minorEastAsia" w:hAnsiTheme="minorEastAsia" w:eastAsiaTheme="minorEastAsia"/>
                <w:b/>
                <w:szCs w:val="21"/>
              </w:rPr>
              <w:t xml:space="preserve">1-3  </w:t>
            </w:r>
            <w:r>
              <w:rPr>
                <w:rFonts w:hint="eastAsia" w:asciiTheme="minorEastAsia" w:hAnsiTheme="minorEastAsia" w:eastAsiaTheme="minorEastAsia"/>
                <w:b/>
                <w:szCs w:val="21"/>
              </w:rPr>
              <w:t>不同民族毕业生所占比例</w:t>
            </w:r>
          </w:p>
        </w:tc>
      </w:tr>
    </w:tbl>
    <w:p>
      <w:pPr>
        <w:pStyle w:val="4"/>
        <w:spacing w:before="0" w:after="0" w:line="500" w:lineRule="exact"/>
        <w:ind w:firstLine="562" w:firstLineChars="200"/>
        <w:rPr>
          <w:sz w:val="28"/>
          <w:szCs w:val="28"/>
        </w:rPr>
      </w:pPr>
      <w:bookmarkStart w:id="17" w:name="_Toc533861909"/>
      <w:r>
        <w:rPr>
          <w:rFonts w:hint="eastAsia"/>
          <w:sz w:val="28"/>
          <w:szCs w:val="28"/>
        </w:rPr>
        <w:t>（三）性别</w:t>
      </w:r>
      <w:bookmarkEnd w:id="2"/>
      <w:r>
        <w:rPr>
          <w:rFonts w:hint="eastAsia"/>
          <w:sz w:val="28"/>
          <w:szCs w:val="28"/>
        </w:rPr>
        <w:t>结构</w:t>
      </w:r>
      <w:bookmarkEnd w:id="17"/>
    </w:p>
    <w:p>
      <w:pPr>
        <w:spacing w:line="500" w:lineRule="exact"/>
        <w:ind w:firstLine="480" w:firstLineChars="200"/>
        <w:rPr>
          <w:rFonts w:ascii="宋体"/>
          <w:sz w:val="24"/>
        </w:rPr>
      </w:pPr>
      <w:r>
        <w:rPr>
          <w:rFonts w:ascii="宋体" w:hAnsi="宋体"/>
          <w:sz w:val="24"/>
        </w:rPr>
        <w:t>2018</w:t>
      </w:r>
      <w:r>
        <w:rPr>
          <w:rFonts w:hint="eastAsia" w:ascii="宋体" w:hAnsi="宋体"/>
          <w:sz w:val="24"/>
        </w:rPr>
        <w:t>届</w:t>
      </w:r>
      <w:r>
        <w:rPr>
          <w:rFonts w:ascii="宋体" w:hAnsi="宋体"/>
          <w:sz w:val="24"/>
        </w:rPr>
        <w:t>2591</w:t>
      </w:r>
      <w:r>
        <w:rPr>
          <w:rFonts w:hint="eastAsia" w:ascii="宋体" w:hAnsi="宋体"/>
          <w:sz w:val="24"/>
        </w:rPr>
        <w:t>名毕业生中男生</w:t>
      </w:r>
      <w:r>
        <w:rPr>
          <w:rFonts w:ascii="宋体" w:hAnsi="宋体"/>
          <w:sz w:val="24"/>
        </w:rPr>
        <w:t>1593</w:t>
      </w:r>
      <w:r>
        <w:rPr>
          <w:rFonts w:hint="eastAsia" w:ascii="宋体" w:hAnsi="宋体"/>
          <w:sz w:val="24"/>
        </w:rPr>
        <w:t>人、女生</w:t>
      </w:r>
      <w:r>
        <w:rPr>
          <w:rFonts w:ascii="宋体" w:hAnsi="宋体"/>
          <w:sz w:val="24"/>
        </w:rPr>
        <w:t>998</w:t>
      </w:r>
      <w:r>
        <w:rPr>
          <w:rFonts w:hint="eastAsia" w:ascii="宋体" w:hAnsi="宋体"/>
          <w:sz w:val="24"/>
        </w:rPr>
        <w:t>人，分别占应届毕业生总数的</w:t>
      </w:r>
      <w:r>
        <w:rPr>
          <w:rFonts w:ascii="宋体" w:hAnsi="宋体"/>
          <w:sz w:val="24"/>
        </w:rPr>
        <w:t>61.48%</w:t>
      </w:r>
      <w:r>
        <w:rPr>
          <w:rFonts w:hint="eastAsia" w:ascii="宋体" w:hAnsi="宋体"/>
          <w:sz w:val="24"/>
        </w:rPr>
        <w:t>和</w:t>
      </w:r>
      <w:r>
        <w:rPr>
          <w:rFonts w:ascii="宋体" w:hAnsi="宋体"/>
          <w:sz w:val="24"/>
        </w:rPr>
        <w:t>38.52%</w:t>
      </w:r>
      <w:r>
        <w:rPr>
          <w:rFonts w:hint="eastAsia" w:ascii="宋体" w:hAnsi="宋体"/>
          <w:sz w:val="24"/>
        </w:rPr>
        <w:t>。对农业类院校而言，女生所占比例偏大。在</w:t>
      </w:r>
      <w:r>
        <w:rPr>
          <w:rFonts w:ascii="宋体" w:hAnsi="宋体"/>
          <w:sz w:val="24"/>
        </w:rPr>
        <w:t>34</w:t>
      </w:r>
      <w:r>
        <w:rPr>
          <w:rFonts w:hint="eastAsia" w:ascii="宋体" w:hAnsi="宋体"/>
          <w:sz w:val="24"/>
        </w:rPr>
        <w:t>个专业中，动物防疫与检疫、生物技术及应用、兽药生产与营销、模具设计与制造、电子商务、电子信息工程技术、农产品质量检测、葡萄与葡萄酒工程、食品加工技术、食品生物技术、食品营养与检测、园艺技术等1</w:t>
      </w:r>
      <w:r>
        <w:rPr>
          <w:rFonts w:ascii="宋体" w:hAnsi="宋体"/>
          <w:sz w:val="24"/>
        </w:rPr>
        <w:t>2</w:t>
      </w:r>
      <w:r>
        <w:rPr>
          <w:rFonts w:hint="eastAsia" w:ascii="宋体" w:hAnsi="宋体"/>
          <w:sz w:val="24"/>
        </w:rPr>
        <w:t>个专业女生人数最多，共计</w:t>
      </w:r>
      <w:r>
        <w:rPr>
          <w:rFonts w:ascii="宋体" w:hAnsi="宋体"/>
          <w:sz w:val="24"/>
        </w:rPr>
        <w:t>439</w:t>
      </w:r>
      <w:r>
        <w:rPr>
          <w:rFonts w:hint="eastAsia" w:ascii="宋体" w:hAnsi="宋体"/>
          <w:sz w:val="24"/>
        </w:rPr>
        <w:t>人，占女生毕业生总数的</w:t>
      </w:r>
      <w:r>
        <w:rPr>
          <w:rFonts w:ascii="宋体" w:hAnsi="宋体"/>
          <w:sz w:val="24"/>
        </w:rPr>
        <w:t>43.99%</w:t>
      </w:r>
      <w:r>
        <w:rPr>
          <w:rFonts w:hint="eastAsia" w:ascii="宋体" w:hAnsi="宋体"/>
          <w:sz w:val="24"/>
        </w:rPr>
        <w:t>、应届毕业生总数的</w:t>
      </w:r>
      <w:r>
        <w:rPr>
          <w:rFonts w:ascii="宋体" w:hAnsi="宋体"/>
          <w:sz w:val="24"/>
        </w:rPr>
        <w:t>16.94%</w:t>
      </w:r>
      <w:r>
        <w:rPr>
          <w:rFonts w:hint="eastAsia" w:ascii="宋体" w:hAnsi="宋体"/>
          <w:sz w:val="24"/>
        </w:rPr>
        <w:t>（表</w:t>
      </w:r>
      <w:r>
        <w:rPr>
          <w:rFonts w:ascii="宋体" w:hAnsi="宋体"/>
          <w:sz w:val="24"/>
        </w:rPr>
        <w:t>1-2</w:t>
      </w:r>
      <w:r>
        <w:rPr>
          <w:rFonts w:hint="eastAsia" w:ascii="宋体" w:hAnsi="宋体"/>
          <w:sz w:val="24"/>
        </w:rPr>
        <w:t>）。</w:t>
      </w:r>
    </w:p>
    <w:p>
      <w:pPr>
        <w:pStyle w:val="4"/>
        <w:spacing w:before="0" w:after="0" w:line="500" w:lineRule="exact"/>
        <w:ind w:firstLine="562" w:firstLineChars="200"/>
        <w:rPr>
          <w:sz w:val="28"/>
          <w:szCs w:val="28"/>
        </w:rPr>
      </w:pPr>
      <w:bookmarkStart w:id="18" w:name="_Toc533861910"/>
      <w:r>
        <w:rPr>
          <w:rFonts w:hint="eastAsia"/>
          <w:sz w:val="28"/>
          <w:szCs w:val="28"/>
        </w:rPr>
        <w:t>（四）</w:t>
      </w:r>
      <w:bookmarkEnd w:id="3"/>
      <w:r>
        <w:rPr>
          <w:rFonts w:hint="eastAsia"/>
          <w:sz w:val="28"/>
          <w:szCs w:val="28"/>
        </w:rPr>
        <w:t>生源地分布</w:t>
      </w:r>
      <w:bookmarkEnd w:id="18"/>
    </w:p>
    <w:p>
      <w:pPr>
        <w:spacing w:line="500" w:lineRule="exact"/>
        <w:ind w:firstLine="480" w:firstLineChars="200"/>
        <w:rPr>
          <w:rFonts w:ascii="宋体" w:hAnsi="宋体"/>
          <w:sz w:val="24"/>
        </w:rPr>
      </w:pPr>
      <w:r>
        <w:rPr>
          <w:rFonts w:hint="eastAsia" w:ascii="宋体" w:hAnsi="宋体"/>
          <w:sz w:val="24"/>
        </w:rPr>
        <w:t>我院作为省内招生院校，</w:t>
      </w:r>
      <w:r>
        <w:rPr>
          <w:rFonts w:ascii="宋体" w:hAnsi="宋体"/>
          <w:sz w:val="24"/>
        </w:rPr>
        <w:t>2018</w:t>
      </w:r>
      <w:r>
        <w:rPr>
          <w:rFonts w:hint="eastAsia" w:ascii="宋体" w:hAnsi="宋体"/>
          <w:sz w:val="24"/>
        </w:rPr>
        <w:t>届毕业生均为省内生源。其中定西市、陇南市、甘南州和白银市等</w:t>
      </w:r>
      <w:r>
        <w:rPr>
          <w:rFonts w:ascii="宋体" w:hAnsi="宋体"/>
          <w:sz w:val="24"/>
        </w:rPr>
        <w:t>4</w:t>
      </w:r>
      <w:r>
        <w:rPr>
          <w:rFonts w:hint="eastAsia" w:ascii="宋体" w:hAnsi="宋体"/>
          <w:sz w:val="24"/>
        </w:rPr>
        <w:t>个地（州、市）招生规模最大，共计1379人，占应届毕业生总数的53.22</w:t>
      </w:r>
      <w:r>
        <w:rPr>
          <w:rFonts w:ascii="宋体" w:hAnsi="宋体"/>
          <w:sz w:val="24"/>
        </w:rPr>
        <w:t>%</w:t>
      </w:r>
      <w:r>
        <w:rPr>
          <w:rFonts w:hint="eastAsia" w:ascii="宋体" w:hAnsi="宋体"/>
          <w:sz w:val="24"/>
        </w:rPr>
        <w:t>；这</w:t>
      </w:r>
      <w:r>
        <w:rPr>
          <w:rFonts w:ascii="宋体" w:hAnsi="宋体"/>
          <w:sz w:val="24"/>
        </w:rPr>
        <w:t>4</w:t>
      </w:r>
      <w:r>
        <w:rPr>
          <w:rFonts w:hint="eastAsia" w:ascii="宋体" w:hAnsi="宋体"/>
          <w:sz w:val="24"/>
        </w:rPr>
        <w:t>个地（州、市）应届毕业生人数依次为388人、</w:t>
      </w:r>
      <w:r>
        <w:rPr>
          <w:rFonts w:ascii="宋体" w:hAnsi="宋体"/>
          <w:sz w:val="24"/>
        </w:rPr>
        <w:t>3</w:t>
      </w:r>
      <w:r>
        <w:rPr>
          <w:rFonts w:hint="eastAsia" w:ascii="宋体" w:hAnsi="宋体"/>
          <w:sz w:val="24"/>
        </w:rPr>
        <w:t>5</w:t>
      </w:r>
      <w:r>
        <w:rPr>
          <w:rFonts w:ascii="宋体" w:hAnsi="宋体"/>
          <w:sz w:val="24"/>
        </w:rPr>
        <w:t>9</w:t>
      </w:r>
      <w:r>
        <w:rPr>
          <w:rFonts w:hint="eastAsia" w:ascii="宋体" w:hAnsi="宋体"/>
          <w:sz w:val="24"/>
        </w:rPr>
        <w:t>人、</w:t>
      </w:r>
      <w:r>
        <w:rPr>
          <w:rFonts w:ascii="宋体" w:hAnsi="宋体"/>
          <w:sz w:val="24"/>
        </w:rPr>
        <w:t>3</w:t>
      </w:r>
      <w:r>
        <w:rPr>
          <w:rFonts w:hint="eastAsia" w:ascii="宋体" w:hAnsi="宋体"/>
          <w:sz w:val="24"/>
        </w:rPr>
        <w:t>40人和292人，分别占应届毕业生总数的14.98</w:t>
      </w:r>
      <w:r>
        <w:rPr>
          <w:rFonts w:ascii="宋体" w:hAnsi="宋体"/>
          <w:sz w:val="24"/>
        </w:rPr>
        <w:t>%</w:t>
      </w:r>
      <w:r>
        <w:rPr>
          <w:rFonts w:hint="eastAsia" w:ascii="宋体" w:hAnsi="宋体"/>
          <w:sz w:val="24"/>
        </w:rPr>
        <w:t>、</w:t>
      </w:r>
      <w:r>
        <w:rPr>
          <w:rFonts w:ascii="宋体" w:hAnsi="宋体"/>
          <w:sz w:val="24"/>
        </w:rPr>
        <w:t>1</w:t>
      </w:r>
      <w:r>
        <w:rPr>
          <w:rFonts w:hint="eastAsia" w:ascii="宋体" w:hAnsi="宋体"/>
          <w:sz w:val="24"/>
        </w:rPr>
        <w:t>3.86</w:t>
      </w:r>
      <w:r>
        <w:rPr>
          <w:rFonts w:ascii="宋体" w:hAnsi="宋体"/>
          <w:sz w:val="24"/>
        </w:rPr>
        <w:t>%</w:t>
      </w:r>
      <w:r>
        <w:rPr>
          <w:rFonts w:hint="eastAsia" w:ascii="宋体" w:hAnsi="宋体"/>
          <w:sz w:val="24"/>
        </w:rPr>
        <w:t>、</w:t>
      </w:r>
      <w:r>
        <w:rPr>
          <w:rFonts w:ascii="宋体" w:hAnsi="宋体"/>
          <w:sz w:val="24"/>
        </w:rPr>
        <w:t>13.</w:t>
      </w:r>
      <w:r>
        <w:rPr>
          <w:rFonts w:hint="eastAsia" w:ascii="宋体" w:hAnsi="宋体"/>
          <w:sz w:val="24"/>
        </w:rPr>
        <w:t>12</w:t>
      </w:r>
      <w:r>
        <w:rPr>
          <w:rFonts w:ascii="宋体" w:hAnsi="宋体"/>
          <w:sz w:val="24"/>
        </w:rPr>
        <w:t>%</w:t>
      </w:r>
      <w:r>
        <w:rPr>
          <w:rFonts w:hint="eastAsia" w:ascii="宋体" w:hAnsi="宋体"/>
          <w:sz w:val="24"/>
        </w:rPr>
        <w:t>和</w:t>
      </w:r>
      <w:r>
        <w:rPr>
          <w:rFonts w:ascii="宋体" w:hAnsi="宋体"/>
          <w:sz w:val="24"/>
        </w:rPr>
        <w:t>1</w:t>
      </w:r>
      <w:r>
        <w:rPr>
          <w:rFonts w:hint="eastAsia" w:ascii="宋体" w:hAnsi="宋体"/>
          <w:sz w:val="24"/>
        </w:rPr>
        <w:t>1.27</w:t>
      </w:r>
      <w:r>
        <w:rPr>
          <w:rFonts w:ascii="宋体" w:hAnsi="宋体"/>
          <w:sz w:val="24"/>
        </w:rPr>
        <w:t>%</w:t>
      </w:r>
      <w:r>
        <w:rPr>
          <w:rFonts w:hint="eastAsia" w:ascii="宋体" w:hAnsi="宋体"/>
          <w:sz w:val="24"/>
        </w:rPr>
        <w:t>（图</w:t>
      </w:r>
      <w:r>
        <w:rPr>
          <w:rFonts w:ascii="宋体" w:hAnsi="宋体"/>
          <w:sz w:val="24"/>
        </w:rPr>
        <w:t>1-4</w:t>
      </w:r>
      <w:r>
        <w:rPr>
          <w:rFonts w:hint="eastAsia" w:ascii="宋体" w:hAnsi="宋体"/>
          <w:sz w:val="24"/>
        </w:rPr>
        <w:t>）。</w:t>
      </w:r>
    </w:p>
    <w:p>
      <w:pPr>
        <w:spacing w:line="480" w:lineRule="exact"/>
        <w:ind w:firstLine="420" w:firstLineChars="200"/>
        <w:jc w:val="center"/>
        <w:rPr>
          <w:b/>
          <w:szCs w:val="21"/>
        </w:rPr>
      </w:pPr>
      <w:r>
        <w:rPr>
          <w:rFonts w:asciiTheme="minorEastAsia" w:hAnsiTheme="minorEastAsia" w:eastAsiaTheme="minorEastAsia"/>
          <w:szCs w:val="21"/>
        </w:rPr>
        <w:drawing>
          <wp:anchor distT="0" distB="0" distL="114300" distR="114300" simplePos="0" relativeHeight="251682816" behindDoc="0" locked="0" layoutInCell="1" allowOverlap="1">
            <wp:simplePos x="0" y="0"/>
            <wp:positionH relativeFrom="column">
              <wp:posOffset>228600</wp:posOffset>
            </wp:positionH>
            <wp:positionV relativeFrom="paragraph">
              <wp:posOffset>1905</wp:posOffset>
            </wp:positionV>
            <wp:extent cx="5327015" cy="2877820"/>
            <wp:effectExtent l="0" t="0" r="0" b="0"/>
            <wp:wrapSquare wrapText="bothSides"/>
            <wp:docPr id="30" name="图表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Pr>
          <w:rFonts w:hint="eastAsia" w:asciiTheme="minorEastAsia" w:hAnsiTheme="minorEastAsia" w:eastAsiaTheme="minorEastAsia"/>
          <w:b/>
          <w:szCs w:val="21"/>
        </w:rPr>
        <w:t>图</w:t>
      </w:r>
      <w:r>
        <w:rPr>
          <w:rFonts w:asciiTheme="minorEastAsia" w:hAnsiTheme="minorEastAsia" w:eastAsiaTheme="minorEastAsia"/>
          <w:b/>
          <w:szCs w:val="21"/>
        </w:rPr>
        <w:t xml:space="preserve">1-4  </w:t>
      </w:r>
      <w:r>
        <w:rPr>
          <w:rFonts w:hint="eastAsia" w:asciiTheme="minorEastAsia" w:hAnsiTheme="minorEastAsia" w:eastAsiaTheme="minorEastAsia"/>
          <w:b/>
          <w:szCs w:val="21"/>
        </w:rPr>
        <w:t>生源地及毕业生</w:t>
      </w:r>
      <w:r>
        <w:rPr>
          <w:rFonts w:hint="eastAsia"/>
          <w:b/>
          <w:szCs w:val="21"/>
        </w:rPr>
        <w:t>人数分布</w:t>
      </w:r>
    </w:p>
    <w:p>
      <w:pPr>
        <w:pStyle w:val="3"/>
        <w:spacing w:before="0" w:after="0" w:line="500" w:lineRule="exact"/>
        <w:ind w:firstLine="643" w:firstLineChars="200"/>
      </w:pPr>
      <w:bookmarkStart w:id="19" w:name="_Toc438627727"/>
      <w:bookmarkStart w:id="20" w:name="_Toc533861911"/>
      <w:r>
        <w:rPr>
          <w:rFonts w:hint="eastAsia"/>
        </w:rPr>
        <w:t>三、就业率</w:t>
      </w:r>
      <w:bookmarkEnd w:id="19"/>
      <w:r>
        <w:rPr>
          <w:rFonts w:hint="eastAsia"/>
        </w:rPr>
        <w:t>及</w:t>
      </w:r>
      <w:r>
        <w:t>毕业去向</w:t>
      </w:r>
      <w:bookmarkEnd w:id="20"/>
    </w:p>
    <w:p>
      <w:pPr>
        <w:pStyle w:val="4"/>
        <w:spacing w:before="0" w:after="0" w:line="500" w:lineRule="exact"/>
        <w:ind w:firstLine="562" w:firstLineChars="200"/>
        <w:rPr>
          <w:sz w:val="28"/>
          <w:szCs w:val="28"/>
        </w:rPr>
      </w:pPr>
      <w:bookmarkStart w:id="21" w:name="_Toc533861912"/>
      <w:r>
        <w:rPr>
          <w:rFonts w:hint="eastAsia"/>
          <w:sz w:val="28"/>
          <w:szCs w:val="28"/>
        </w:rPr>
        <w:t>（一</w:t>
      </w:r>
      <w:r>
        <w:rPr>
          <w:sz w:val="28"/>
          <w:szCs w:val="28"/>
        </w:rPr>
        <w:t>）</w:t>
      </w:r>
      <w:r>
        <w:rPr>
          <w:rFonts w:hint="eastAsia"/>
          <w:sz w:val="28"/>
          <w:szCs w:val="28"/>
        </w:rPr>
        <w:t>总体</w:t>
      </w:r>
      <w:r>
        <w:rPr>
          <w:sz w:val="28"/>
          <w:szCs w:val="28"/>
        </w:rPr>
        <w:t>就业率</w:t>
      </w:r>
      <w:r>
        <w:rPr>
          <w:rFonts w:hint="eastAsia"/>
          <w:sz w:val="28"/>
          <w:szCs w:val="28"/>
        </w:rPr>
        <w:t>及</w:t>
      </w:r>
      <w:r>
        <w:rPr>
          <w:sz w:val="28"/>
          <w:szCs w:val="28"/>
        </w:rPr>
        <w:t>毕业去向</w:t>
      </w:r>
      <w:bookmarkEnd w:id="21"/>
    </w:p>
    <w:p>
      <w:pPr>
        <w:widowControl/>
        <w:spacing w:line="500" w:lineRule="exact"/>
        <w:ind w:firstLine="480" w:firstLineChars="200"/>
        <w:rPr>
          <w:rFonts w:ascii="宋体" w:hAnsi="宋体"/>
          <w:sz w:val="24"/>
        </w:rPr>
      </w:pPr>
      <w:r>
        <w:rPr>
          <w:rFonts w:hint="eastAsia" w:ascii="宋体" w:hAnsi="宋体"/>
          <w:sz w:val="24"/>
        </w:rPr>
        <w:t>我院</w:t>
      </w:r>
      <w:r>
        <w:rPr>
          <w:rFonts w:ascii="宋体" w:hAnsi="宋体"/>
          <w:sz w:val="24"/>
        </w:rPr>
        <w:t>2018</w:t>
      </w:r>
      <w:r>
        <w:rPr>
          <w:rFonts w:hint="eastAsia" w:ascii="宋体" w:hAnsi="宋体"/>
          <w:sz w:val="24"/>
        </w:rPr>
        <w:t>届毕业生总数</w:t>
      </w:r>
      <w:r>
        <w:rPr>
          <w:rFonts w:ascii="宋体" w:hAnsi="宋体"/>
          <w:sz w:val="24"/>
        </w:rPr>
        <w:t>2591</w:t>
      </w:r>
      <w:r>
        <w:rPr>
          <w:rFonts w:hint="eastAsia" w:ascii="宋体" w:hAnsi="宋体"/>
          <w:sz w:val="24"/>
        </w:rPr>
        <w:t>人，其中就业</w:t>
      </w:r>
      <w:r>
        <w:rPr>
          <w:rFonts w:ascii="宋体" w:hAnsi="宋体"/>
          <w:sz w:val="24"/>
        </w:rPr>
        <w:t>2489</w:t>
      </w:r>
      <w:r>
        <w:rPr>
          <w:rFonts w:hint="eastAsia" w:ascii="宋体" w:hAnsi="宋体"/>
          <w:sz w:val="24"/>
        </w:rPr>
        <w:t>人，就业率</w:t>
      </w:r>
      <w:r>
        <w:rPr>
          <w:rFonts w:ascii="宋体" w:hAnsi="宋体"/>
          <w:sz w:val="24"/>
        </w:rPr>
        <w:t>96.06%</w:t>
      </w:r>
      <w:r>
        <w:rPr>
          <w:rFonts w:hint="eastAsia" w:ascii="宋体" w:hAnsi="宋体"/>
          <w:sz w:val="24"/>
        </w:rPr>
        <w:t>（表</w:t>
      </w:r>
      <w:r>
        <w:rPr>
          <w:rFonts w:ascii="宋体" w:hAnsi="宋体"/>
          <w:sz w:val="24"/>
        </w:rPr>
        <w:t>3</w:t>
      </w:r>
      <w:r>
        <w:rPr>
          <w:rFonts w:hint="eastAsia" w:ascii="宋体" w:hAnsi="宋体"/>
          <w:sz w:val="24"/>
        </w:rPr>
        <w:t>），略高于上届（</w:t>
      </w:r>
      <w:r>
        <w:rPr>
          <w:rFonts w:ascii="宋体" w:hAnsi="宋体"/>
          <w:sz w:val="24"/>
        </w:rPr>
        <w:t>95.50%</w:t>
      </w:r>
      <w:r>
        <w:rPr>
          <w:rFonts w:hint="eastAsia" w:ascii="宋体" w:hAnsi="宋体"/>
          <w:sz w:val="24"/>
        </w:rPr>
        <w:t>），</w:t>
      </w:r>
      <w:r>
        <w:rPr>
          <w:rFonts w:ascii="宋体" w:hAnsi="宋体"/>
          <w:sz w:val="24"/>
        </w:rPr>
        <w:t>基本实现充分就业</w:t>
      </w:r>
      <w:r>
        <w:rPr>
          <w:rFonts w:hint="eastAsia" w:ascii="宋体" w:hAnsi="宋体"/>
          <w:sz w:val="24"/>
        </w:rPr>
        <w:t>。其中，与用人单位签订就业协议就业</w:t>
      </w:r>
      <w:r>
        <w:rPr>
          <w:rFonts w:ascii="宋体" w:hAnsi="宋体"/>
          <w:sz w:val="24"/>
        </w:rPr>
        <w:t>2435</w:t>
      </w:r>
      <w:r>
        <w:rPr>
          <w:rFonts w:hint="eastAsia" w:ascii="宋体" w:hAnsi="宋体"/>
          <w:sz w:val="24"/>
        </w:rPr>
        <w:t>人，自主创业</w:t>
      </w:r>
      <w:r>
        <w:rPr>
          <w:rFonts w:ascii="宋体" w:hAnsi="宋体"/>
          <w:sz w:val="24"/>
        </w:rPr>
        <w:t>10</w:t>
      </w:r>
      <w:r>
        <w:rPr>
          <w:rFonts w:hint="eastAsia" w:ascii="宋体" w:hAnsi="宋体"/>
          <w:sz w:val="24"/>
        </w:rPr>
        <w:t>人，升学（专升本）</w:t>
      </w:r>
      <w:r>
        <w:rPr>
          <w:rFonts w:ascii="宋体" w:hAnsi="宋体"/>
          <w:sz w:val="24"/>
        </w:rPr>
        <w:t>17</w:t>
      </w:r>
      <w:r>
        <w:rPr>
          <w:rFonts w:hint="eastAsia" w:ascii="宋体" w:hAnsi="宋体"/>
          <w:sz w:val="24"/>
        </w:rPr>
        <w:t>人，参军</w:t>
      </w:r>
      <w:r>
        <w:rPr>
          <w:rFonts w:ascii="宋体" w:hAnsi="宋体"/>
          <w:sz w:val="24"/>
        </w:rPr>
        <w:t>37</w:t>
      </w:r>
      <w:r>
        <w:rPr>
          <w:rFonts w:hint="eastAsia" w:ascii="宋体" w:hAnsi="宋体"/>
          <w:sz w:val="24"/>
        </w:rPr>
        <w:t>人，待就业</w:t>
      </w:r>
      <w:r>
        <w:rPr>
          <w:rFonts w:ascii="宋体" w:hAnsi="宋体"/>
          <w:sz w:val="24"/>
        </w:rPr>
        <w:t>102</w:t>
      </w:r>
      <w:r>
        <w:rPr>
          <w:rFonts w:hint="eastAsia" w:ascii="宋体" w:hAnsi="宋体"/>
          <w:sz w:val="24"/>
        </w:rPr>
        <w:t>人（表</w:t>
      </w:r>
      <w:r>
        <w:rPr>
          <w:rFonts w:ascii="宋体" w:hAnsi="宋体"/>
          <w:sz w:val="24"/>
        </w:rPr>
        <w:t>1-3</w:t>
      </w:r>
      <w:r>
        <w:rPr>
          <w:rFonts w:hint="eastAsia" w:ascii="宋体" w:hAnsi="宋体"/>
          <w:sz w:val="24"/>
        </w:rPr>
        <w:t>）。</w:t>
      </w:r>
      <w:bookmarkStart w:id="22" w:name="_Toc438627728"/>
    </w:p>
    <w:tbl>
      <w:tblPr>
        <w:tblStyle w:val="20"/>
        <w:tblW w:w="9063"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2"/>
        <w:gridCol w:w="2268"/>
        <w:gridCol w:w="1985"/>
        <w:gridCol w:w="1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exact"/>
        </w:trPr>
        <w:tc>
          <w:tcPr>
            <w:tcW w:w="9063" w:type="dxa"/>
            <w:gridSpan w:val="4"/>
            <w:tcBorders>
              <w:top w:val="nil"/>
              <w:left w:val="nil"/>
              <w:bottom w:val="single" w:color="auto" w:sz="4" w:space="0"/>
              <w:right w:val="nil"/>
            </w:tcBorders>
            <w:vAlign w:val="center"/>
          </w:tcPr>
          <w:p>
            <w:pPr>
              <w:widowControl/>
              <w:jc w:val="center"/>
              <w:rPr>
                <w:rFonts w:ascii="Times New Roman" w:hAnsi="Times New Roman"/>
                <w:b/>
                <w:sz w:val="20"/>
                <w:szCs w:val="20"/>
              </w:rPr>
            </w:pPr>
            <w:r>
              <w:rPr>
                <w:rFonts w:hint="eastAsia" w:ascii="Times New Roman" w:hAnsi="Times New Roman"/>
                <w:b/>
                <w:sz w:val="20"/>
                <w:szCs w:val="20"/>
              </w:rPr>
              <w:t>表1</w:t>
            </w:r>
            <w:r>
              <w:rPr>
                <w:rFonts w:ascii="Times New Roman" w:hAnsi="Times New Roman"/>
                <w:b/>
                <w:sz w:val="20"/>
                <w:szCs w:val="20"/>
              </w:rPr>
              <w:t>-3  2018</w:t>
            </w:r>
            <w:r>
              <w:rPr>
                <w:rFonts w:hint="eastAsia" w:ascii="Times New Roman" w:hAnsi="Times New Roman"/>
                <w:b/>
                <w:sz w:val="20"/>
                <w:szCs w:val="20"/>
              </w:rPr>
              <w:t>届</w:t>
            </w:r>
            <w:r>
              <w:rPr>
                <w:rFonts w:ascii="Times New Roman" w:hAnsi="Times New Roman"/>
                <w:b/>
                <w:sz w:val="20"/>
                <w:szCs w:val="20"/>
              </w:rPr>
              <w:t>毕业生</w:t>
            </w:r>
            <w:r>
              <w:rPr>
                <w:rFonts w:hint="eastAsia" w:ascii="Times New Roman" w:hAnsi="Times New Roman"/>
                <w:b/>
                <w:sz w:val="20"/>
                <w:szCs w:val="20"/>
              </w:rPr>
              <w:t>毕业</w:t>
            </w:r>
            <w:r>
              <w:rPr>
                <w:rFonts w:ascii="Times New Roman" w:hAnsi="Times New Roman"/>
                <w:b/>
                <w:sz w:val="20"/>
                <w:szCs w:val="20"/>
              </w:rPr>
              <w:t>去向分布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2972" w:type="dxa"/>
            <w:tcBorders>
              <w:bottom w:val="single" w:color="auto" w:sz="4" w:space="0"/>
            </w:tcBorders>
            <w:shd w:val="clear" w:color="auto" w:fill="4F81BD" w:themeFill="accent1"/>
            <w:vAlign w:val="center"/>
          </w:tcPr>
          <w:p>
            <w:pPr>
              <w:widowControl/>
              <w:jc w:val="center"/>
              <w:rPr>
                <w:rFonts w:ascii="Times New Roman" w:hAnsi="Times New Roman"/>
                <w:b/>
                <w:color w:val="FFFFFF" w:themeColor="background1"/>
                <w:sz w:val="20"/>
                <w:szCs w:val="20"/>
                <w14:textFill>
                  <w14:solidFill>
                    <w14:schemeClr w14:val="bg1"/>
                  </w14:solidFill>
                </w14:textFill>
              </w:rPr>
            </w:pPr>
            <w:r>
              <w:rPr>
                <w:rFonts w:hint="eastAsia" w:ascii="Times New Roman" w:hAnsi="Times New Roman"/>
                <w:b/>
                <w:color w:val="FFFFFF" w:themeColor="background1"/>
                <w:sz w:val="20"/>
                <w:szCs w:val="20"/>
                <w14:textFill>
                  <w14:solidFill>
                    <w14:schemeClr w14:val="bg1"/>
                  </w14:solidFill>
                </w14:textFill>
              </w:rPr>
              <w:t>毕业去向</w:t>
            </w:r>
          </w:p>
        </w:tc>
        <w:tc>
          <w:tcPr>
            <w:tcW w:w="2268" w:type="dxa"/>
            <w:tcBorders>
              <w:bottom w:val="single" w:color="auto" w:sz="4" w:space="0"/>
            </w:tcBorders>
            <w:shd w:val="clear" w:color="auto" w:fill="4F81BD" w:themeFill="accent1"/>
            <w:vAlign w:val="center"/>
          </w:tcPr>
          <w:p>
            <w:pPr>
              <w:widowControl/>
              <w:jc w:val="center"/>
              <w:rPr>
                <w:rFonts w:ascii="Times New Roman" w:hAnsi="Times New Roman"/>
                <w:b/>
                <w:color w:val="FFFFFF" w:themeColor="background1"/>
                <w:sz w:val="20"/>
                <w:szCs w:val="20"/>
                <w14:textFill>
                  <w14:solidFill>
                    <w14:schemeClr w14:val="bg1"/>
                  </w14:solidFill>
                </w14:textFill>
              </w:rPr>
            </w:pPr>
            <w:r>
              <w:rPr>
                <w:rFonts w:hint="eastAsia" w:ascii="Times New Roman" w:hAnsi="Times New Roman"/>
                <w:b/>
                <w:color w:val="FFFFFF" w:themeColor="background1"/>
                <w:sz w:val="20"/>
                <w:szCs w:val="20"/>
                <w14:textFill>
                  <w14:solidFill>
                    <w14:schemeClr w14:val="bg1"/>
                  </w14:solidFill>
                </w14:textFill>
              </w:rPr>
              <w:t>人数</w:t>
            </w:r>
          </w:p>
        </w:tc>
        <w:tc>
          <w:tcPr>
            <w:tcW w:w="1985" w:type="dxa"/>
            <w:tcBorders>
              <w:bottom w:val="single" w:color="auto" w:sz="4" w:space="0"/>
            </w:tcBorders>
            <w:shd w:val="clear" w:color="auto" w:fill="4F81BD" w:themeFill="accent1"/>
            <w:vAlign w:val="center"/>
          </w:tcPr>
          <w:p>
            <w:pPr>
              <w:widowControl/>
              <w:jc w:val="center"/>
              <w:rPr>
                <w:rFonts w:ascii="Times New Roman" w:hAnsi="Times New Roman"/>
                <w:b/>
                <w:color w:val="FFFFFF" w:themeColor="background1"/>
                <w:sz w:val="20"/>
                <w:szCs w:val="20"/>
                <w14:textFill>
                  <w14:solidFill>
                    <w14:schemeClr w14:val="bg1"/>
                  </w14:solidFill>
                </w14:textFill>
              </w:rPr>
            </w:pPr>
            <w:r>
              <w:rPr>
                <w:rFonts w:hint="eastAsia" w:ascii="Times New Roman" w:hAnsi="Times New Roman"/>
                <w:b/>
                <w:color w:val="FFFFFF" w:themeColor="background1"/>
                <w:sz w:val="20"/>
                <w:szCs w:val="20"/>
                <w14:textFill>
                  <w14:solidFill>
                    <w14:schemeClr w14:val="bg1"/>
                  </w14:solidFill>
                </w14:textFill>
              </w:rPr>
              <w:t>比例</w:t>
            </w:r>
          </w:p>
        </w:tc>
        <w:tc>
          <w:tcPr>
            <w:tcW w:w="1838" w:type="dxa"/>
            <w:shd w:val="clear" w:color="auto" w:fill="4F81BD" w:themeFill="accent1"/>
            <w:vAlign w:val="center"/>
          </w:tcPr>
          <w:p>
            <w:pPr>
              <w:widowControl/>
              <w:jc w:val="center"/>
              <w:rPr>
                <w:rFonts w:ascii="Times New Roman" w:hAnsi="Times New Roman"/>
                <w:b/>
                <w:color w:val="FFFFFF" w:themeColor="background1"/>
                <w:sz w:val="20"/>
                <w:szCs w:val="20"/>
                <w14:textFill>
                  <w14:solidFill>
                    <w14:schemeClr w14:val="bg1"/>
                  </w14:solidFill>
                </w14:textFill>
              </w:rPr>
            </w:pPr>
            <w:r>
              <w:rPr>
                <w:rFonts w:hint="eastAsia" w:ascii="Times New Roman" w:hAnsi="Times New Roman"/>
                <w:b/>
                <w:color w:val="FFFFFF" w:themeColor="background1"/>
                <w:sz w:val="20"/>
                <w:szCs w:val="20"/>
                <w14:textFill>
                  <w14:solidFill>
                    <w14:schemeClr w14:val="bg1"/>
                  </w14:solidFill>
                </w14:textFill>
              </w:rPr>
              <w:t>就业率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trPr>
        <w:tc>
          <w:tcPr>
            <w:tcW w:w="2972" w:type="dxa"/>
            <w:shd w:val="clear" w:color="auto" w:fill="92CDDC" w:themeFill="accent5" w:themeFillTint="99"/>
            <w:vAlign w:val="center"/>
          </w:tcPr>
          <w:p>
            <w:pPr>
              <w:widowControl/>
              <w:jc w:val="center"/>
              <w:rPr>
                <w:rFonts w:ascii="黑体" w:hAnsi="黑体" w:eastAsia="黑体"/>
                <w:b/>
                <w:szCs w:val="21"/>
              </w:rPr>
            </w:pPr>
            <w:r>
              <w:rPr>
                <w:rFonts w:hint="eastAsia" w:ascii="黑体" w:hAnsi="黑体" w:eastAsia="黑体"/>
                <w:szCs w:val="21"/>
              </w:rPr>
              <w:t>签就业协议形式就业</w:t>
            </w:r>
          </w:p>
        </w:tc>
        <w:tc>
          <w:tcPr>
            <w:tcW w:w="2268" w:type="dxa"/>
            <w:shd w:val="clear" w:color="auto" w:fill="92CDDC" w:themeFill="accent5" w:themeFillTint="99"/>
            <w:vAlign w:val="center"/>
          </w:tcPr>
          <w:p>
            <w:pPr>
              <w:widowControl/>
              <w:jc w:val="center"/>
              <w:rPr>
                <w:rFonts w:ascii="Times New Roman" w:hAnsi="Times New Roman" w:eastAsia="黑体"/>
                <w:b/>
                <w:szCs w:val="21"/>
              </w:rPr>
            </w:pPr>
            <w:r>
              <w:rPr>
                <w:rFonts w:ascii="Times New Roman" w:hAnsi="Times New Roman" w:eastAsia="黑体"/>
                <w:b/>
                <w:szCs w:val="21"/>
              </w:rPr>
              <w:t>2435</w:t>
            </w:r>
          </w:p>
        </w:tc>
        <w:tc>
          <w:tcPr>
            <w:tcW w:w="1985" w:type="dxa"/>
            <w:shd w:val="clear" w:color="auto" w:fill="92CDDC" w:themeFill="accent5" w:themeFillTint="99"/>
            <w:vAlign w:val="center"/>
          </w:tcPr>
          <w:p>
            <w:pPr>
              <w:widowControl/>
              <w:jc w:val="center"/>
              <w:rPr>
                <w:rFonts w:ascii="Times New Roman" w:hAnsi="Times New Roman" w:eastAsia="黑体"/>
                <w:b/>
                <w:szCs w:val="21"/>
              </w:rPr>
            </w:pPr>
            <w:r>
              <w:rPr>
                <w:rFonts w:ascii="Times New Roman" w:hAnsi="Times New Roman" w:eastAsia="黑体"/>
                <w:b/>
                <w:szCs w:val="21"/>
              </w:rPr>
              <w:t>93.98%</w:t>
            </w:r>
          </w:p>
        </w:tc>
        <w:tc>
          <w:tcPr>
            <w:tcW w:w="1838" w:type="dxa"/>
            <w:vMerge w:val="restart"/>
            <w:vAlign w:val="center"/>
          </w:tcPr>
          <w:p>
            <w:pPr>
              <w:widowControl/>
              <w:jc w:val="center"/>
              <w:rPr>
                <w:rFonts w:ascii="Times New Roman" w:hAnsi="Times New Roman" w:eastAsia="黑体"/>
                <w:b/>
                <w:szCs w:val="21"/>
              </w:rPr>
            </w:pPr>
            <w:r>
              <w:rPr>
                <w:rFonts w:ascii="Times New Roman" w:hAnsi="Times New Roman" w:eastAsia="黑体"/>
                <w:b/>
                <w:szCs w:val="21"/>
              </w:rPr>
              <w:t>96.06%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trPr>
        <w:tc>
          <w:tcPr>
            <w:tcW w:w="2972" w:type="dxa"/>
            <w:tcBorders>
              <w:bottom w:val="single" w:color="auto" w:sz="4" w:space="0"/>
            </w:tcBorders>
            <w:vAlign w:val="center"/>
          </w:tcPr>
          <w:p>
            <w:pPr>
              <w:widowControl/>
              <w:jc w:val="center"/>
              <w:rPr>
                <w:rFonts w:ascii="黑体" w:hAnsi="黑体" w:eastAsia="黑体"/>
                <w:b/>
                <w:szCs w:val="21"/>
              </w:rPr>
            </w:pPr>
            <w:r>
              <w:rPr>
                <w:rFonts w:hint="eastAsia" w:ascii="黑体" w:hAnsi="黑体" w:eastAsia="黑体"/>
                <w:szCs w:val="21"/>
              </w:rPr>
              <w:t>升学</w:t>
            </w:r>
          </w:p>
        </w:tc>
        <w:tc>
          <w:tcPr>
            <w:tcW w:w="2268" w:type="dxa"/>
            <w:tcBorders>
              <w:bottom w:val="single" w:color="auto" w:sz="4" w:space="0"/>
            </w:tcBorders>
            <w:vAlign w:val="center"/>
          </w:tcPr>
          <w:p>
            <w:pPr>
              <w:widowControl/>
              <w:jc w:val="center"/>
              <w:rPr>
                <w:rFonts w:ascii="Times New Roman" w:hAnsi="Times New Roman" w:eastAsia="黑体"/>
                <w:b/>
                <w:szCs w:val="21"/>
              </w:rPr>
            </w:pPr>
            <w:r>
              <w:rPr>
                <w:rFonts w:ascii="Times New Roman" w:hAnsi="Times New Roman" w:eastAsia="黑体"/>
                <w:b/>
                <w:szCs w:val="21"/>
              </w:rPr>
              <w:t>17</w:t>
            </w:r>
          </w:p>
        </w:tc>
        <w:tc>
          <w:tcPr>
            <w:tcW w:w="1985" w:type="dxa"/>
            <w:tcBorders>
              <w:bottom w:val="single" w:color="auto" w:sz="4" w:space="0"/>
            </w:tcBorders>
            <w:vAlign w:val="center"/>
          </w:tcPr>
          <w:p>
            <w:pPr>
              <w:widowControl/>
              <w:jc w:val="center"/>
              <w:rPr>
                <w:rFonts w:ascii="Times New Roman" w:hAnsi="Times New Roman" w:eastAsia="黑体"/>
                <w:b/>
                <w:szCs w:val="21"/>
              </w:rPr>
            </w:pPr>
            <w:r>
              <w:rPr>
                <w:rFonts w:ascii="Times New Roman" w:hAnsi="Times New Roman" w:eastAsia="黑体"/>
                <w:b/>
                <w:szCs w:val="21"/>
              </w:rPr>
              <w:t>0.66%</w:t>
            </w:r>
          </w:p>
        </w:tc>
        <w:tc>
          <w:tcPr>
            <w:tcW w:w="1838" w:type="dxa"/>
            <w:vMerge w:val="continue"/>
            <w:vAlign w:val="center"/>
          </w:tcPr>
          <w:p>
            <w:pPr>
              <w:widowControl/>
              <w:jc w:val="center"/>
              <w:rPr>
                <w:rFonts w:ascii="黑体" w:hAnsi="黑体" w:eastAsia="黑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trPr>
        <w:tc>
          <w:tcPr>
            <w:tcW w:w="2972" w:type="dxa"/>
            <w:shd w:val="clear" w:color="auto" w:fill="92CDDC" w:themeFill="accent5" w:themeFillTint="99"/>
            <w:vAlign w:val="center"/>
          </w:tcPr>
          <w:p>
            <w:pPr>
              <w:widowControl/>
              <w:jc w:val="center"/>
              <w:rPr>
                <w:rFonts w:ascii="黑体" w:hAnsi="黑体" w:eastAsia="黑体"/>
                <w:b/>
                <w:szCs w:val="21"/>
              </w:rPr>
            </w:pPr>
            <w:r>
              <w:rPr>
                <w:rFonts w:hint="eastAsia" w:ascii="黑体" w:hAnsi="黑体" w:eastAsia="黑体"/>
                <w:szCs w:val="21"/>
              </w:rPr>
              <w:t>自主创业</w:t>
            </w:r>
          </w:p>
        </w:tc>
        <w:tc>
          <w:tcPr>
            <w:tcW w:w="2268" w:type="dxa"/>
            <w:shd w:val="clear" w:color="auto" w:fill="92CDDC" w:themeFill="accent5" w:themeFillTint="99"/>
            <w:vAlign w:val="center"/>
          </w:tcPr>
          <w:p>
            <w:pPr>
              <w:widowControl/>
              <w:jc w:val="center"/>
              <w:rPr>
                <w:rFonts w:ascii="Times New Roman" w:hAnsi="Times New Roman" w:eastAsia="黑体"/>
                <w:b/>
                <w:szCs w:val="21"/>
              </w:rPr>
            </w:pPr>
            <w:r>
              <w:rPr>
                <w:rFonts w:ascii="Times New Roman" w:hAnsi="Times New Roman" w:eastAsia="黑体"/>
                <w:b/>
                <w:szCs w:val="21"/>
              </w:rPr>
              <w:t>10</w:t>
            </w:r>
          </w:p>
        </w:tc>
        <w:tc>
          <w:tcPr>
            <w:tcW w:w="1985" w:type="dxa"/>
            <w:shd w:val="clear" w:color="auto" w:fill="92CDDC" w:themeFill="accent5" w:themeFillTint="99"/>
            <w:vAlign w:val="center"/>
          </w:tcPr>
          <w:p>
            <w:pPr>
              <w:widowControl/>
              <w:jc w:val="center"/>
              <w:rPr>
                <w:rFonts w:ascii="Times New Roman" w:hAnsi="Times New Roman" w:eastAsia="黑体"/>
                <w:b/>
                <w:szCs w:val="21"/>
              </w:rPr>
            </w:pPr>
            <w:r>
              <w:rPr>
                <w:rFonts w:ascii="Times New Roman" w:hAnsi="Times New Roman" w:eastAsia="黑体"/>
                <w:b/>
                <w:szCs w:val="21"/>
              </w:rPr>
              <w:t>0.39%</w:t>
            </w:r>
          </w:p>
        </w:tc>
        <w:tc>
          <w:tcPr>
            <w:tcW w:w="1838" w:type="dxa"/>
            <w:vMerge w:val="continue"/>
            <w:vAlign w:val="center"/>
          </w:tcPr>
          <w:p>
            <w:pPr>
              <w:widowControl/>
              <w:jc w:val="center"/>
              <w:rPr>
                <w:rFonts w:ascii="黑体" w:hAnsi="黑体" w:eastAsia="黑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trPr>
        <w:tc>
          <w:tcPr>
            <w:tcW w:w="2972" w:type="dxa"/>
            <w:tcBorders>
              <w:bottom w:val="single" w:color="auto" w:sz="4" w:space="0"/>
            </w:tcBorders>
            <w:vAlign w:val="center"/>
          </w:tcPr>
          <w:p>
            <w:pPr>
              <w:widowControl/>
              <w:jc w:val="center"/>
              <w:rPr>
                <w:rFonts w:ascii="黑体" w:hAnsi="黑体" w:eastAsia="黑体"/>
                <w:b/>
                <w:szCs w:val="21"/>
              </w:rPr>
            </w:pPr>
            <w:r>
              <w:rPr>
                <w:rFonts w:hint="eastAsia" w:ascii="黑体" w:hAnsi="黑体" w:eastAsia="黑体"/>
                <w:szCs w:val="21"/>
              </w:rPr>
              <w:t>参军</w:t>
            </w:r>
          </w:p>
        </w:tc>
        <w:tc>
          <w:tcPr>
            <w:tcW w:w="2268" w:type="dxa"/>
            <w:tcBorders>
              <w:bottom w:val="single" w:color="auto" w:sz="4" w:space="0"/>
            </w:tcBorders>
            <w:vAlign w:val="center"/>
          </w:tcPr>
          <w:p>
            <w:pPr>
              <w:widowControl/>
              <w:jc w:val="center"/>
              <w:rPr>
                <w:rFonts w:ascii="Times New Roman" w:hAnsi="Times New Roman" w:eastAsia="黑体"/>
                <w:b/>
                <w:szCs w:val="21"/>
              </w:rPr>
            </w:pPr>
            <w:r>
              <w:rPr>
                <w:rFonts w:ascii="Times New Roman" w:hAnsi="Times New Roman" w:eastAsia="黑体"/>
                <w:b/>
                <w:szCs w:val="21"/>
              </w:rPr>
              <w:t>37</w:t>
            </w:r>
          </w:p>
        </w:tc>
        <w:tc>
          <w:tcPr>
            <w:tcW w:w="1985" w:type="dxa"/>
            <w:tcBorders>
              <w:bottom w:val="single" w:color="auto" w:sz="4" w:space="0"/>
            </w:tcBorders>
            <w:vAlign w:val="center"/>
          </w:tcPr>
          <w:p>
            <w:pPr>
              <w:widowControl/>
              <w:jc w:val="center"/>
              <w:rPr>
                <w:rFonts w:ascii="Times New Roman" w:hAnsi="Times New Roman" w:eastAsia="黑体"/>
                <w:b/>
                <w:szCs w:val="21"/>
              </w:rPr>
            </w:pPr>
            <w:r>
              <w:rPr>
                <w:rFonts w:ascii="Times New Roman" w:hAnsi="Times New Roman" w:eastAsia="黑体"/>
                <w:b/>
                <w:szCs w:val="21"/>
              </w:rPr>
              <w:t>1.43%</w:t>
            </w:r>
          </w:p>
        </w:tc>
        <w:tc>
          <w:tcPr>
            <w:tcW w:w="1838" w:type="dxa"/>
            <w:vMerge w:val="continue"/>
            <w:vAlign w:val="center"/>
          </w:tcPr>
          <w:p>
            <w:pPr>
              <w:widowControl/>
              <w:jc w:val="center"/>
              <w:rPr>
                <w:rFonts w:ascii="黑体" w:hAnsi="黑体" w:eastAsia="黑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trPr>
        <w:tc>
          <w:tcPr>
            <w:tcW w:w="2972" w:type="dxa"/>
            <w:shd w:val="clear" w:color="auto" w:fill="92CDDC" w:themeFill="accent5" w:themeFillTint="99"/>
            <w:vAlign w:val="center"/>
          </w:tcPr>
          <w:p>
            <w:pPr>
              <w:widowControl/>
              <w:jc w:val="center"/>
              <w:rPr>
                <w:rFonts w:ascii="黑体" w:hAnsi="黑体" w:eastAsia="黑体"/>
                <w:b/>
                <w:szCs w:val="21"/>
              </w:rPr>
            </w:pPr>
            <w:r>
              <w:rPr>
                <w:rFonts w:hint="eastAsia" w:ascii="黑体" w:hAnsi="黑体" w:eastAsia="黑体"/>
                <w:szCs w:val="21"/>
              </w:rPr>
              <w:t>待就业</w:t>
            </w:r>
          </w:p>
        </w:tc>
        <w:tc>
          <w:tcPr>
            <w:tcW w:w="2268" w:type="dxa"/>
            <w:shd w:val="clear" w:color="auto" w:fill="92CDDC" w:themeFill="accent5" w:themeFillTint="99"/>
            <w:vAlign w:val="center"/>
          </w:tcPr>
          <w:p>
            <w:pPr>
              <w:widowControl/>
              <w:jc w:val="center"/>
              <w:rPr>
                <w:rFonts w:ascii="Times New Roman" w:hAnsi="Times New Roman" w:eastAsia="黑体"/>
                <w:b/>
                <w:szCs w:val="21"/>
              </w:rPr>
            </w:pPr>
            <w:r>
              <w:rPr>
                <w:rFonts w:ascii="Times New Roman" w:hAnsi="Times New Roman" w:eastAsia="黑体"/>
                <w:b/>
                <w:szCs w:val="21"/>
              </w:rPr>
              <w:t>102</w:t>
            </w:r>
          </w:p>
        </w:tc>
        <w:tc>
          <w:tcPr>
            <w:tcW w:w="1985" w:type="dxa"/>
            <w:shd w:val="clear" w:color="auto" w:fill="92CDDC" w:themeFill="accent5" w:themeFillTint="99"/>
            <w:vAlign w:val="center"/>
          </w:tcPr>
          <w:p>
            <w:pPr>
              <w:widowControl/>
              <w:jc w:val="center"/>
              <w:rPr>
                <w:rFonts w:ascii="Times New Roman" w:hAnsi="Times New Roman" w:eastAsia="黑体"/>
                <w:b/>
                <w:szCs w:val="21"/>
              </w:rPr>
            </w:pPr>
            <w:r>
              <w:rPr>
                <w:rFonts w:ascii="Times New Roman" w:hAnsi="Times New Roman" w:eastAsia="黑体"/>
                <w:b/>
                <w:szCs w:val="21"/>
              </w:rPr>
              <w:t>3.94%</w:t>
            </w:r>
          </w:p>
        </w:tc>
        <w:tc>
          <w:tcPr>
            <w:tcW w:w="1838" w:type="dxa"/>
            <w:vMerge w:val="continue"/>
            <w:vAlign w:val="center"/>
          </w:tcPr>
          <w:p>
            <w:pPr>
              <w:widowControl/>
              <w:jc w:val="center"/>
              <w:rPr>
                <w:rFonts w:ascii="黑体" w:hAnsi="黑体" w:eastAsia="黑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trPr>
        <w:tc>
          <w:tcPr>
            <w:tcW w:w="9063" w:type="dxa"/>
            <w:gridSpan w:val="4"/>
          </w:tcPr>
          <w:p>
            <w:pPr>
              <w:widowControl/>
              <w:spacing w:line="480" w:lineRule="exact"/>
              <w:rPr>
                <w:rFonts w:ascii="黑体" w:hAnsi="黑体" w:eastAsia="黑体"/>
                <w:szCs w:val="21"/>
              </w:rPr>
            </w:pPr>
            <w:r>
              <w:rPr>
                <w:rFonts w:hint="eastAsia" w:ascii="黑体" w:hAnsi="黑体" w:eastAsia="黑体"/>
                <w:szCs w:val="21"/>
              </w:rPr>
              <w:t>注：就业率=</w:t>
            </w:r>
            <w:r>
              <w:rPr>
                <w:rFonts w:ascii="黑体" w:hAnsi="黑体" w:eastAsia="黑体"/>
                <w:szCs w:val="21"/>
              </w:rPr>
              <w:t>(</w:t>
            </w:r>
            <w:r>
              <w:rPr>
                <w:rFonts w:hint="eastAsia" w:ascii="黑体" w:hAnsi="黑体" w:eastAsia="黑体"/>
                <w:szCs w:val="21"/>
              </w:rPr>
              <w:t>签就业协议形式就业人数+升学人数</w:t>
            </w:r>
            <w:r>
              <w:rPr>
                <w:rFonts w:ascii="黑体" w:hAnsi="黑体" w:eastAsia="黑体"/>
                <w:szCs w:val="21"/>
              </w:rPr>
              <w:t>+</w:t>
            </w:r>
            <w:r>
              <w:rPr>
                <w:rFonts w:hint="eastAsia" w:ascii="黑体" w:hAnsi="黑体" w:eastAsia="黑体"/>
                <w:szCs w:val="21"/>
              </w:rPr>
              <w:t>自由创业</w:t>
            </w:r>
            <w:r>
              <w:rPr>
                <w:rFonts w:ascii="黑体" w:hAnsi="黑体" w:eastAsia="黑体"/>
                <w:szCs w:val="21"/>
              </w:rPr>
              <w:t>人数+</w:t>
            </w:r>
            <w:r>
              <w:rPr>
                <w:rFonts w:hint="eastAsia" w:ascii="黑体" w:hAnsi="黑体" w:eastAsia="黑体"/>
                <w:szCs w:val="21"/>
              </w:rPr>
              <w:t>参军</w:t>
            </w:r>
            <w:r>
              <w:rPr>
                <w:rFonts w:ascii="黑体" w:hAnsi="黑体" w:eastAsia="黑体"/>
                <w:szCs w:val="21"/>
              </w:rPr>
              <w:t>人数)÷</w:t>
            </w:r>
            <w:r>
              <w:rPr>
                <w:rFonts w:hint="eastAsia" w:ascii="黑体" w:hAnsi="黑体" w:eastAsia="黑体"/>
                <w:szCs w:val="21"/>
              </w:rPr>
              <w:t>毕业生</w:t>
            </w:r>
            <w:r>
              <w:rPr>
                <w:rFonts w:ascii="黑体" w:hAnsi="黑体" w:eastAsia="黑体"/>
                <w:szCs w:val="21"/>
              </w:rPr>
              <w:t>总人数</w:t>
            </w:r>
            <w:r>
              <w:rPr>
                <w:rFonts w:hint="eastAsia" w:ascii="黑体" w:hAnsi="黑体" w:eastAsia="黑体"/>
                <w:szCs w:val="21"/>
              </w:rPr>
              <w:t>×100</w:t>
            </w:r>
            <w:r>
              <w:rPr>
                <w:rFonts w:ascii="黑体" w:hAnsi="黑体" w:eastAsia="黑体"/>
                <w:szCs w:val="21"/>
              </w:rPr>
              <w:t>%</w:t>
            </w:r>
          </w:p>
          <w:p>
            <w:pPr>
              <w:widowControl/>
              <w:spacing w:line="480" w:lineRule="exact"/>
              <w:rPr>
                <w:rFonts w:ascii="Times New Roman" w:hAnsi="Times New Roman"/>
                <w:b/>
                <w:sz w:val="18"/>
                <w:szCs w:val="18"/>
              </w:rPr>
            </w:pPr>
            <w:r>
              <w:rPr>
                <w:rFonts w:hint="eastAsia" w:ascii="黑体" w:hAnsi="黑体" w:eastAsia="黑体"/>
                <w:szCs w:val="21"/>
              </w:rPr>
              <w:t>数据来源</w:t>
            </w:r>
            <w:r>
              <w:rPr>
                <w:rFonts w:ascii="黑体" w:hAnsi="黑体" w:eastAsia="黑体"/>
                <w:szCs w:val="21"/>
              </w:rPr>
              <w:t>：</w:t>
            </w:r>
            <w:r>
              <w:rPr>
                <w:rFonts w:hint="eastAsia" w:ascii="黑体" w:hAnsi="黑体" w:eastAsia="黑体"/>
                <w:szCs w:val="21"/>
              </w:rPr>
              <w:t>全国</w:t>
            </w:r>
            <w:r>
              <w:rPr>
                <w:rFonts w:ascii="黑体" w:hAnsi="黑体" w:eastAsia="黑体"/>
                <w:szCs w:val="21"/>
              </w:rPr>
              <w:t>高校毕业生</w:t>
            </w:r>
            <w:r>
              <w:rPr>
                <w:rFonts w:hint="eastAsia" w:ascii="黑体" w:hAnsi="黑体" w:eastAsia="黑体"/>
                <w:szCs w:val="21"/>
              </w:rPr>
              <w:t>就业</w:t>
            </w:r>
            <w:r>
              <w:rPr>
                <w:rFonts w:ascii="黑体" w:hAnsi="黑体" w:eastAsia="黑体"/>
                <w:szCs w:val="21"/>
              </w:rPr>
              <w:t>管理</w:t>
            </w:r>
            <w:r>
              <w:rPr>
                <w:rFonts w:hint="eastAsia" w:ascii="黑体" w:hAnsi="黑体" w:eastAsia="黑体"/>
                <w:szCs w:val="21"/>
              </w:rPr>
              <w:t>与</w:t>
            </w:r>
            <w:r>
              <w:rPr>
                <w:rFonts w:ascii="黑体" w:hAnsi="黑体" w:eastAsia="黑体"/>
                <w:szCs w:val="21"/>
              </w:rPr>
              <w:t>监测</w:t>
            </w:r>
            <w:r>
              <w:rPr>
                <w:rFonts w:hint="eastAsia" w:ascii="黑体" w:hAnsi="黑体" w:eastAsia="黑体"/>
                <w:szCs w:val="21"/>
              </w:rPr>
              <w:t>系统</w:t>
            </w:r>
            <w:r>
              <w:rPr>
                <w:rFonts w:ascii="黑体" w:hAnsi="黑体" w:eastAsia="黑体"/>
                <w:szCs w:val="21"/>
              </w:rPr>
              <w:t>。</w:t>
            </w:r>
          </w:p>
        </w:tc>
      </w:tr>
    </w:tbl>
    <w:p>
      <w:pPr>
        <w:pStyle w:val="4"/>
        <w:spacing w:before="0" w:after="0" w:line="360" w:lineRule="exact"/>
        <w:ind w:firstLine="562" w:firstLineChars="200"/>
        <w:rPr>
          <w:sz w:val="28"/>
          <w:szCs w:val="28"/>
        </w:rPr>
      </w:pPr>
      <w:bookmarkStart w:id="23" w:name="_Toc533861913"/>
      <w:r>
        <w:rPr>
          <w:rFonts w:hint="eastAsia"/>
          <w:sz w:val="28"/>
          <w:szCs w:val="28"/>
        </w:rPr>
        <w:t>（二</w:t>
      </w:r>
      <w:r>
        <w:rPr>
          <w:sz w:val="28"/>
          <w:szCs w:val="28"/>
        </w:rPr>
        <w:t>）</w:t>
      </w:r>
      <w:r>
        <w:rPr>
          <w:rFonts w:hint="eastAsia"/>
          <w:sz w:val="28"/>
          <w:szCs w:val="28"/>
        </w:rPr>
        <w:t>各专业</w:t>
      </w:r>
      <w:r>
        <w:rPr>
          <w:sz w:val="28"/>
          <w:szCs w:val="28"/>
        </w:rPr>
        <w:t>就业率</w:t>
      </w:r>
      <w:bookmarkEnd w:id="23"/>
    </w:p>
    <w:p>
      <w:pPr>
        <w:spacing w:line="80" w:lineRule="exact"/>
      </w:pPr>
    </w:p>
    <w:tbl>
      <w:tblPr>
        <w:tblStyle w:val="19"/>
        <w:tblW w:w="8942" w:type="dxa"/>
        <w:tblInd w:w="138" w:type="dxa"/>
        <w:tblLayout w:type="fixed"/>
        <w:tblCellMar>
          <w:top w:w="0" w:type="dxa"/>
          <w:left w:w="108" w:type="dxa"/>
          <w:bottom w:w="0" w:type="dxa"/>
          <w:right w:w="108" w:type="dxa"/>
        </w:tblCellMar>
      </w:tblPr>
      <w:tblGrid>
        <w:gridCol w:w="547"/>
        <w:gridCol w:w="2009"/>
        <w:gridCol w:w="709"/>
        <w:gridCol w:w="646"/>
        <w:gridCol w:w="642"/>
        <w:gridCol w:w="712"/>
        <w:gridCol w:w="686"/>
        <w:gridCol w:w="684"/>
        <w:gridCol w:w="682"/>
        <w:gridCol w:w="690"/>
        <w:gridCol w:w="935"/>
      </w:tblGrid>
      <w:tr>
        <w:tblPrEx>
          <w:tblLayout w:type="fixed"/>
          <w:tblCellMar>
            <w:top w:w="0" w:type="dxa"/>
            <w:left w:w="108" w:type="dxa"/>
            <w:bottom w:w="0" w:type="dxa"/>
            <w:right w:w="108" w:type="dxa"/>
          </w:tblCellMar>
        </w:tblPrEx>
        <w:trPr>
          <w:trHeight w:val="481" w:hRule="exact"/>
        </w:trPr>
        <w:tc>
          <w:tcPr>
            <w:tcW w:w="8942" w:type="dxa"/>
            <w:gridSpan w:val="11"/>
            <w:tcBorders>
              <w:bottom w:val="single" w:color="auto" w:sz="4" w:space="0"/>
            </w:tcBorders>
            <w:shd w:val="clear" w:color="000000" w:fill="FFFFFF" w:themeFill="background1"/>
            <w:vAlign w:val="center"/>
          </w:tcPr>
          <w:p>
            <w:pPr>
              <w:widowControl/>
              <w:jc w:val="center"/>
              <w:rPr>
                <w:rFonts w:ascii="宋体" w:hAnsi="宋体" w:cs="宋体"/>
                <w:b/>
                <w:bCs/>
                <w:color w:val="000000"/>
                <w:kern w:val="0"/>
                <w:szCs w:val="21"/>
              </w:rPr>
            </w:pPr>
            <w:r>
              <w:rPr>
                <w:rFonts w:hint="eastAsia"/>
                <w:b/>
                <w:szCs w:val="21"/>
              </w:rPr>
              <w:t>表</w:t>
            </w:r>
            <w:r>
              <w:rPr>
                <w:rFonts w:asciiTheme="minorEastAsia" w:hAnsiTheme="minorEastAsia" w:eastAsiaTheme="minorEastAsia"/>
                <w:b/>
                <w:szCs w:val="21"/>
              </w:rPr>
              <w:t xml:space="preserve">1-4  </w:t>
            </w:r>
            <w:r>
              <w:rPr>
                <w:rFonts w:hint="eastAsia" w:asciiTheme="minorEastAsia" w:hAnsiTheme="minorEastAsia" w:eastAsiaTheme="minorEastAsia"/>
                <w:b/>
                <w:szCs w:val="21"/>
              </w:rPr>
              <w:t>各专业就业情</w:t>
            </w:r>
            <w:r>
              <w:rPr>
                <w:rFonts w:hint="eastAsia"/>
                <w:b/>
                <w:szCs w:val="21"/>
              </w:rPr>
              <w:t>况统计表</w:t>
            </w:r>
          </w:p>
        </w:tc>
      </w:tr>
      <w:tr>
        <w:tblPrEx>
          <w:tblLayout w:type="fixed"/>
          <w:tblCellMar>
            <w:top w:w="0" w:type="dxa"/>
            <w:left w:w="108" w:type="dxa"/>
            <w:bottom w:w="0" w:type="dxa"/>
            <w:right w:w="108" w:type="dxa"/>
          </w:tblCellMar>
        </w:tblPrEx>
        <w:trPr>
          <w:trHeight w:val="481" w:hRule="exact"/>
        </w:trPr>
        <w:tc>
          <w:tcPr>
            <w:tcW w:w="547" w:type="dxa"/>
            <w:vMerge w:val="restart"/>
            <w:tcBorders>
              <w:top w:val="single" w:color="auto" w:sz="8" w:space="0"/>
              <w:left w:val="single" w:color="auto" w:sz="8" w:space="0"/>
              <w:bottom w:val="single" w:color="auto" w:sz="4" w:space="0"/>
              <w:right w:val="single" w:color="auto" w:sz="4" w:space="0"/>
            </w:tcBorders>
            <w:shd w:val="clear" w:color="000000" w:fill="9BBB59"/>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序号</w:t>
            </w:r>
          </w:p>
        </w:tc>
        <w:tc>
          <w:tcPr>
            <w:tcW w:w="2009" w:type="dxa"/>
            <w:vMerge w:val="restart"/>
            <w:tcBorders>
              <w:top w:val="single" w:color="auto" w:sz="8" w:space="0"/>
              <w:left w:val="single" w:color="auto" w:sz="4" w:space="0"/>
              <w:bottom w:val="single" w:color="auto" w:sz="4" w:space="0"/>
              <w:right w:val="single" w:color="auto" w:sz="4" w:space="0"/>
            </w:tcBorders>
            <w:shd w:val="clear" w:color="000000" w:fill="9BBB59"/>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专业名称</w:t>
            </w:r>
          </w:p>
        </w:tc>
        <w:tc>
          <w:tcPr>
            <w:tcW w:w="709" w:type="dxa"/>
            <w:vMerge w:val="restart"/>
            <w:tcBorders>
              <w:top w:val="single" w:color="auto" w:sz="8" w:space="0"/>
              <w:left w:val="single" w:color="auto" w:sz="4" w:space="0"/>
              <w:bottom w:val="single" w:color="auto" w:sz="4" w:space="0"/>
              <w:right w:val="single" w:color="auto" w:sz="4" w:space="0"/>
            </w:tcBorders>
            <w:shd w:val="clear" w:color="000000" w:fill="9BBB59"/>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毕业生数</w:t>
            </w:r>
          </w:p>
        </w:tc>
        <w:tc>
          <w:tcPr>
            <w:tcW w:w="2000" w:type="dxa"/>
            <w:gridSpan w:val="3"/>
            <w:tcBorders>
              <w:top w:val="single" w:color="auto" w:sz="8" w:space="0"/>
              <w:left w:val="nil"/>
              <w:bottom w:val="single" w:color="auto" w:sz="4" w:space="0"/>
              <w:right w:val="single" w:color="auto" w:sz="4" w:space="0"/>
            </w:tcBorders>
            <w:shd w:val="clear" w:color="000000" w:fill="9BBB59"/>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就业人数</w:t>
            </w:r>
          </w:p>
        </w:tc>
        <w:tc>
          <w:tcPr>
            <w:tcW w:w="686" w:type="dxa"/>
            <w:vMerge w:val="restart"/>
            <w:tcBorders>
              <w:top w:val="single" w:color="auto" w:sz="8" w:space="0"/>
              <w:left w:val="single" w:color="auto" w:sz="4" w:space="0"/>
              <w:bottom w:val="single" w:color="auto" w:sz="4" w:space="0"/>
              <w:right w:val="single" w:color="auto" w:sz="4" w:space="0"/>
            </w:tcBorders>
            <w:shd w:val="clear" w:color="000000" w:fill="9BBB59"/>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参军人数</w:t>
            </w:r>
          </w:p>
        </w:tc>
        <w:tc>
          <w:tcPr>
            <w:tcW w:w="684" w:type="dxa"/>
            <w:vMerge w:val="restart"/>
            <w:tcBorders>
              <w:top w:val="single" w:color="auto" w:sz="8" w:space="0"/>
              <w:left w:val="single" w:color="auto" w:sz="4" w:space="0"/>
              <w:bottom w:val="single" w:color="auto" w:sz="4" w:space="0"/>
              <w:right w:val="single" w:color="auto" w:sz="4" w:space="0"/>
            </w:tcBorders>
            <w:shd w:val="clear" w:color="000000" w:fill="9BBB59"/>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专升本</w:t>
            </w:r>
          </w:p>
        </w:tc>
        <w:tc>
          <w:tcPr>
            <w:tcW w:w="682" w:type="dxa"/>
            <w:vMerge w:val="restart"/>
            <w:tcBorders>
              <w:top w:val="single" w:color="auto" w:sz="8" w:space="0"/>
              <w:left w:val="single" w:color="auto" w:sz="4" w:space="0"/>
              <w:bottom w:val="single" w:color="auto" w:sz="4" w:space="0"/>
              <w:right w:val="single" w:color="auto" w:sz="4" w:space="0"/>
            </w:tcBorders>
            <w:shd w:val="clear" w:color="000000" w:fill="9BBB59"/>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待就业</w:t>
            </w:r>
          </w:p>
        </w:tc>
        <w:tc>
          <w:tcPr>
            <w:tcW w:w="690" w:type="dxa"/>
            <w:vMerge w:val="restart"/>
            <w:tcBorders>
              <w:top w:val="single" w:color="auto" w:sz="8" w:space="0"/>
              <w:left w:val="single" w:color="auto" w:sz="4" w:space="0"/>
              <w:bottom w:val="single" w:color="auto" w:sz="4" w:space="0"/>
              <w:right w:val="single" w:color="auto" w:sz="4" w:space="0"/>
            </w:tcBorders>
            <w:shd w:val="clear" w:color="000000" w:fill="9BBB59"/>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自主创业</w:t>
            </w:r>
          </w:p>
        </w:tc>
        <w:tc>
          <w:tcPr>
            <w:tcW w:w="935" w:type="dxa"/>
            <w:vMerge w:val="restart"/>
            <w:tcBorders>
              <w:top w:val="single" w:color="auto" w:sz="8" w:space="0"/>
              <w:left w:val="single" w:color="auto" w:sz="4" w:space="0"/>
              <w:bottom w:val="single" w:color="auto" w:sz="4" w:space="0"/>
              <w:right w:val="single" w:color="auto" w:sz="8" w:space="0"/>
            </w:tcBorders>
            <w:shd w:val="clear" w:color="000000" w:fill="9BBB59"/>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就业率</w:t>
            </w:r>
          </w:p>
        </w:tc>
      </w:tr>
      <w:tr>
        <w:tblPrEx>
          <w:tblLayout w:type="fixed"/>
          <w:tblCellMar>
            <w:top w:w="0" w:type="dxa"/>
            <w:left w:w="108" w:type="dxa"/>
            <w:bottom w:w="0" w:type="dxa"/>
            <w:right w:w="108" w:type="dxa"/>
          </w:tblCellMar>
        </w:tblPrEx>
        <w:trPr>
          <w:trHeight w:val="481" w:hRule="exact"/>
        </w:trPr>
        <w:tc>
          <w:tcPr>
            <w:tcW w:w="547" w:type="dxa"/>
            <w:vMerge w:val="continue"/>
            <w:tcBorders>
              <w:top w:val="single" w:color="auto" w:sz="8" w:space="0"/>
              <w:left w:val="single" w:color="auto" w:sz="8" w:space="0"/>
              <w:bottom w:val="single" w:color="auto" w:sz="4" w:space="0"/>
              <w:right w:val="single" w:color="auto" w:sz="4" w:space="0"/>
            </w:tcBorders>
            <w:vAlign w:val="center"/>
          </w:tcPr>
          <w:p>
            <w:pPr>
              <w:widowControl/>
              <w:jc w:val="left"/>
              <w:rPr>
                <w:rFonts w:ascii="宋体" w:hAnsi="宋体" w:cs="宋体"/>
                <w:b/>
                <w:bCs/>
                <w:color w:val="000000"/>
                <w:kern w:val="0"/>
                <w:sz w:val="20"/>
                <w:szCs w:val="20"/>
              </w:rPr>
            </w:pPr>
          </w:p>
        </w:tc>
        <w:tc>
          <w:tcPr>
            <w:tcW w:w="2009" w:type="dxa"/>
            <w:vMerge w:val="continue"/>
            <w:tcBorders>
              <w:top w:val="single" w:color="auto" w:sz="8"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20"/>
                <w:szCs w:val="20"/>
              </w:rPr>
            </w:pPr>
          </w:p>
        </w:tc>
        <w:tc>
          <w:tcPr>
            <w:tcW w:w="709" w:type="dxa"/>
            <w:vMerge w:val="continue"/>
            <w:tcBorders>
              <w:top w:val="single" w:color="auto" w:sz="8"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20"/>
                <w:szCs w:val="20"/>
              </w:rPr>
            </w:pPr>
          </w:p>
        </w:tc>
        <w:tc>
          <w:tcPr>
            <w:tcW w:w="646"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总计</w:t>
            </w:r>
          </w:p>
        </w:tc>
        <w:tc>
          <w:tcPr>
            <w:tcW w:w="642"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男生</w:t>
            </w:r>
          </w:p>
        </w:tc>
        <w:tc>
          <w:tcPr>
            <w:tcW w:w="712"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女生</w:t>
            </w:r>
          </w:p>
        </w:tc>
        <w:tc>
          <w:tcPr>
            <w:tcW w:w="686" w:type="dxa"/>
            <w:vMerge w:val="continue"/>
            <w:tcBorders>
              <w:top w:val="single" w:color="auto" w:sz="8"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20"/>
                <w:szCs w:val="20"/>
              </w:rPr>
            </w:pPr>
          </w:p>
        </w:tc>
        <w:tc>
          <w:tcPr>
            <w:tcW w:w="684" w:type="dxa"/>
            <w:vMerge w:val="continue"/>
            <w:tcBorders>
              <w:top w:val="single" w:color="auto" w:sz="8"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20"/>
                <w:szCs w:val="20"/>
              </w:rPr>
            </w:pPr>
          </w:p>
        </w:tc>
        <w:tc>
          <w:tcPr>
            <w:tcW w:w="682" w:type="dxa"/>
            <w:vMerge w:val="continue"/>
            <w:tcBorders>
              <w:top w:val="single" w:color="auto" w:sz="8"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20"/>
                <w:szCs w:val="20"/>
              </w:rPr>
            </w:pPr>
          </w:p>
        </w:tc>
        <w:tc>
          <w:tcPr>
            <w:tcW w:w="690" w:type="dxa"/>
            <w:vMerge w:val="continue"/>
            <w:tcBorders>
              <w:top w:val="single" w:color="auto" w:sz="8"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20"/>
                <w:szCs w:val="20"/>
              </w:rPr>
            </w:pPr>
          </w:p>
        </w:tc>
        <w:tc>
          <w:tcPr>
            <w:tcW w:w="935" w:type="dxa"/>
            <w:vMerge w:val="continue"/>
            <w:tcBorders>
              <w:top w:val="single" w:color="auto" w:sz="8" w:space="0"/>
              <w:left w:val="single" w:color="auto" w:sz="4" w:space="0"/>
              <w:bottom w:val="single" w:color="auto" w:sz="4" w:space="0"/>
              <w:right w:val="single" w:color="auto" w:sz="8" w:space="0"/>
            </w:tcBorders>
            <w:vAlign w:val="center"/>
          </w:tcPr>
          <w:p>
            <w:pPr>
              <w:widowControl/>
              <w:jc w:val="left"/>
              <w:rPr>
                <w:rFonts w:ascii="宋体" w:hAnsi="宋体" w:cs="宋体"/>
                <w:b/>
                <w:bCs/>
                <w:color w:val="000000"/>
                <w:kern w:val="0"/>
                <w:sz w:val="20"/>
                <w:szCs w:val="20"/>
              </w:rPr>
            </w:pPr>
          </w:p>
        </w:tc>
      </w:tr>
      <w:tr>
        <w:tblPrEx>
          <w:tblLayout w:type="fixed"/>
          <w:tblCellMar>
            <w:top w:w="0" w:type="dxa"/>
            <w:left w:w="108" w:type="dxa"/>
            <w:bottom w:w="0" w:type="dxa"/>
            <w:right w:w="108" w:type="dxa"/>
          </w:tblCellMar>
        </w:tblPrEx>
        <w:trPr>
          <w:trHeight w:val="360" w:hRule="exact"/>
        </w:trPr>
        <w:tc>
          <w:tcPr>
            <w:tcW w:w="547" w:type="dxa"/>
            <w:tcBorders>
              <w:top w:val="nil"/>
              <w:left w:val="single" w:color="auto" w:sz="8"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1</w:t>
            </w:r>
          </w:p>
        </w:tc>
        <w:tc>
          <w:tcPr>
            <w:tcW w:w="20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材料成型与控制技术</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41</w:t>
            </w:r>
          </w:p>
        </w:tc>
        <w:tc>
          <w:tcPr>
            <w:tcW w:w="6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38</w:t>
            </w:r>
          </w:p>
        </w:tc>
        <w:tc>
          <w:tcPr>
            <w:tcW w:w="6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22</w:t>
            </w:r>
          </w:p>
        </w:tc>
        <w:tc>
          <w:tcPr>
            <w:tcW w:w="71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16</w:t>
            </w:r>
          </w:p>
        </w:tc>
        <w:tc>
          <w:tcPr>
            <w:tcW w:w="68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　</w:t>
            </w:r>
          </w:p>
        </w:tc>
        <w:tc>
          <w:tcPr>
            <w:tcW w:w="6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　</w:t>
            </w:r>
          </w:p>
        </w:tc>
        <w:tc>
          <w:tcPr>
            <w:tcW w:w="68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3</w:t>
            </w:r>
          </w:p>
        </w:tc>
        <w:tc>
          <w:tcPr>
            <w:tcW w:w="69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　</w:t>
            </w:r>
          </w:p>
        </w:tc>
        <w:tc>
          <w:tcPr>
            <w:tcW w:w="935" w:type="dxa"/>
            <w:tcBorders>
              <w:top w:val="nil"/>
              <w:left w:val="nil"/>
              <w:bottom w:val="single" w:color="auto" w:sz="4" w:space="0"/>
              <w:right w:val="single" w:color="auto" w:sz="8"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92.68%</w:t>
            </w:r>
          </w:p>
        </w:tc>
      </w:tr>
      <w:tr>
        <w:tblPrEx>
          <w:tblLayout w:type="fixed"/>
          <w:tblCellMar>
            <w:top w:w="0" w:type="dxa"/>
            <w:left w:w="108" w:type="dxa"/>
            <w:bottom w:w="0" w:type="dxa"/>
            <w:right w:w="108" w:type="dxa"/>
          </w:tblCellMar>
        </w:tblPrEx>
        <w:trPr>
          <w:trHeight w:val="360" w:hRule="exact"/>
        </w:trPr>
        <w:tc>
          <w:tcPr>
            <w:tcW w:w="547" w:type="dxa"/>
            <w:tcBorders>
              <w:top w:val="nil"/>
              <w:left w:val="single" w:color="auto" w:sz="8" w:space="0"/>
              <w:bottom w:val="single" w:color="auto" w:sz="4" w:space="0"/>
              <w:right w:val="single" w:color="auto" w:sz="4" w:space="0"/>
            </w:tcBorders>
            <w:shd w:val="clear" w:color="000000" w:fill="9BBB59"/>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2</w:t>
            </w:r>
          </w:p>
        </w:tc>
        <w:tc>
          <w:tcPr>
            <w:tcW w:w="2009"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电气自动化技术</w:t>
            </w:r>
          </w:p>
        </w:tc>
        <w:tc>
          <w:tcPr>
            <w:tcW w:w="709"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153</w:t>
            </w:r>
          </w:p>
        </w:tc>
        <w:tc>
          <w:tcPr>
            <w:tcW w:w="646"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146</w:t>
            </w:r>
          </w:p>
        </w:tc>
        <w:tc>
          <w:tcPr>
            <w:tcW w:w="642"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86</w:t>
            </w:r>
          </w:p>
        </w:tc>
        <w:tc>
          <w:tcPr>
            <w:tcW w:w="712"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60</w:t>
            </w:r>
          </w:p>
        </w:tc>
        <w:tc>
          <w:tcPr>
            <w:tcW w:w="686"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1</w:t>
            </w:r>
          </w:p>
        </w:tc>
        <w:tc>
          <w:tcPr>
            <w:tcW w:w="684"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2</w:t>
            </w:r>
          </w:p>
        </w:tc>
        <w:tc>
          <w:tcPr>
            <w:tcW w:w="682"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4</w:t>
            </w:r>
          </w:p>
        </w:tc>
        <w:tc>
          <w:tcPr>
            <w:tcW w:w="690"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4</w:t>
            </w:r>
          </w:p>
        </w:tc>
        <w:tc>
          <w:tcPr>
            <w:tcW w:w="935" w:type="dxa"/>
            <w:tcBorders>
              <w:top w:val="nil"/>
              <w:left w:val="nil"/>
              <w:bottom w:val="single" w:color="auto" w:sz="4" w:space="0"/>
              <w:right w:val="single" w:color="auto" w:sz="8" w:space="0"/>
            </w:tcBorders>
            <w:shd w:val="clear" w:color="000000" w:fill="9BBB59"/>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97.39%</w:t>
            </w:r>
          </w:p>
        </w:tc>
      </w:tr>
      <w:tr>
        <w:tblPrEx>
          <w:tblLayout w:type="fixed"/>
          <w:tblCellMar>
            <w:top w:w="0" w:type="dxa"/>
            <w:left w:w="108" w:type="dxa"/>
            <w:bottom w:w="0" w:type="dxa"/>
            <w:right w:w="108" w:type="dxa"/>
          </w:tblCellMar>
        </w:tblPrEx>
        <w:trPr>
          <w:trHeight w:val="360" w:hRule="exact"/>
        </w:trPr>
        <w:tc>
          <w:tcPr>
            <w:tcW w:w="547" w:type="dxa"/>
            <w:tcBorders>
              <w:top w:val="nil"/>
              <w:left w:val="single" w:color="auto" w:sz="8"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3</w:t>
            </w:r>
          </w:p>
        </w:tc>
        <w:tc>
          <w:tcPr>
            <w:tcW w:w="20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电子商务</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51</w:t>
            </w:r>
          </w:p>
        </w:tc>
        <w:tc>
          <w:tcPr>
            <w:tcW w:w="6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49</w:t>
            </w:r>
          </w:p>
        </w:tc>
        <w:tc>
          <w:tcPr>
            <w:tcW w:w="6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14</w:t>
            </w:r>
          </w:p>
        </w:tc>
        <w:tc>
          <w:tcPr>
            <w:tcW w:w="71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35</w:t>
            </w:r>
          </w:p>
        </w:tc>
        <w:tc>
          <w:tcPr>
            <w:tcW w:w="68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　</w:t>
            </w:r>
          </w:p>
        </w:tc>
        <w:tc>
          <w:tcPr>
            <w:tcW w:w="6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　</w:t>
            </w:r>
          </w:p>
        </w:tc>
        <w:tc>
          <w:tcPr>
            <w:tcW w:w="68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2</w:t>
            </w:r>
          </w:p>
        </w:tc>
        <w:tc>
          <w:tcPr>
            <w:tcW w:w="69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　</w:t>
            </w:r>
          </w:p>
        </w:tc>
        <w:tc>
          <w:tcPr>
            <w:tcW w:w="935" w:type="dxa"/>
            <w:tcBorders>
              <w:top w:val="nil"/>
              <w:left w:val="nil"/>
              <w:bottom w:val="single" w:color="auto" w:sz="4" w:space="0"/>
              <w:right w:val="single" w:color="auto" w:sz="8"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96.08%</w:t>
            </w:r>
          </w:p>
        </w:tc>
      </w:tr>
      <w:tr>
        <w:tblPrEx>
          <w:tblLayout w:type="fixed"/>
          <w:tblCellMar>
            <w:top w:w="0" w:type="dxa"/>
            <w:left w:w="108" w:type="dxa"/>
            <w:bottom w:w="0" w:type="dxa"/>
            <w:right w:w="108" w:type="dxa"/>
          </w:tblCellMar>
        </w:tblPrEx>
        <w:trPr>
          <w:trHeight w:val="360" w:hRule="exact"/>
        </w:trPr>
        <w:tc>
          <w:tcPr>
            <w:tcW w:w="547" w:type="dxa"/>
            <w:tcBorders>
              <w:top w:val="nil"/>
              <w:left w:val="single" w:color="auto" w:sz="8" w:space="0"/>
              <w:bottom w:val="single" w:color="auto" w:sz="4" w:space="0"/>
              <w:right w:val="single" w:color="auto" w:sz="4" w:space="0"/>
            </w:tcBorders>
            <w:shd w:val="clear" w:color="000000" w:fill="9BBB59"/>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4</w:t>
            </w:r>
          </w:p>
        </w:tc>
        <w:tc>
          <w:tcPr>
            <w:tcW w:w="2009"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电子信息工程技术</w:t>
            </w:r>
          </w:p>
        </w:tc>
        <w:tc>
          <w:tcPr>
            <w:tcW w:w="709"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68</w:t>
            </w:r>
          </w:p>
        </w:tc>
        <w:tc>
          <w:tcPr>
            <w:tcW w:w="646"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65</w:t>
            </w:r>
          </w:p>
        </w:tc>
        <w:tc>
          <w:tcPr>
            <w:tcW w:w="642"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26</w:t>
            </w:r>
          </w:p>
        </w:tc>
        <w:tc>
          <w:tcPr>
            <w:tcW w:w="712"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39</w:t>
            </w:r>
          </w:p>
        </w:tc>
        <w:tc>
          <w:tcPr>
            <w:tcW w:w="686"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1</w:t>
            </w:r>
          </w:p>
        </w:tc>
        <w:tc>
          <w:tcPr>
            <w:tcW w:w="684"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1</w:t>
            </w:r>
          </w:p>
        </w:tc>
        <w:tc>
          <w:tcPr>
            <w:tcW w:w="682"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1</w:t>
            </w:r>
          </w:p>
        </w:tc>
        <w:tc>
          <w:tcPr>
            <w:tcW w:w="690"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　</w:t>
            </w:r>
          </w:p>
        </w:tc>
        <w:tc>
          <w:tcPr>
            <w:tcW w:w="935" w:type="dxa"/>
            <w:tcBorders>
              <w:top w:val="nil"/>
              <w:left w:val="nil"/>
              <w:bottom w:val="single" w:color="auto" w:sz="4" w:space="0"/>
              <w:right w:val="single" w:color="auto" w:sz="8" w:space="0"/>
            </w:tcBorders>
            <w:shd w:val="clear" w:color="000000" w:fill="9BBB59"/>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98.53%</w:t>
            </w:r>
          </w:p>
        </w:tc>
      </w:tr>
      <w:tr>
        <w:tblPrEx>
          <w:tblLayout w:type="fixed"/>
          <w:tblCellMar>
            <w:top w:w="0" w:type="dxa"/>
            <w:left w:w="108" w:type="dxa"/>
            <w:bottom w:w="0" w:type="dxa"/>
            <w:right w:w="108" w:type="dxa"/>
          </w:tblCellMar>
        </w:tblPrEx>
        <w:trPr>
          <w:trHeight w:val="360" w:hRule="exact"/>
        </w:trPr>
        <w:tc>
          <w:tcPr>
            <w:tcW w:w="547" w:type="dxa"/>
            <w:tcBorders>
              <w:top w:val="nil"/>
              <w:left w:val="single" w:color="auto" w:sz="8"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5</w:t>
            </w:r>
          </w:p>
        </w:tc>
        <w:tc>
          <w:tcPr>
            <w:tcW w:w="20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动物防疫与检疫</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45</w:t>
            </w:r>
          </w:p>
        </w:tc>
        <w:tc>
          <w:tcPr>
            <w:tcW w:w="6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42</w:t>
            </w:r>
          </w:p>
        </w:tc>
        <w:tc>
          <w:tcPr>
            <w:tcW w:w="6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16</w:t>
            </w:r>
          </w:p>
        </w:tc>
        <w:tc>
          <w:tcPr>
            <w:tcW w:w="71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26</w:t>
            </w:r>
          </w:p>
        </w:tc>
        <w:tc>
          <w:tcPr>
            <w:tcW w:w="68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　</w:t>
            </w:r>
          </w:p>
        </w:tc>
        <w:tc>
          <w:tcPr>
            <w:tcW w:w="6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　</w:t>
            </w:r>
          </w:p>
        </w:tc>
        <w:tc>
          <w:tcPr>
            <w:tcW w:w="68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3</w:t>
            </w:r>
          </w:p>
        </w:tc>
        <w:tc>
          <w:tcPr>
            <w:tcW w:w="69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　</w:t>
            </w:r>
          </w:p>
        </w:tc>
        <w:tc>
          <w:tcPr>
            <w:tcW w:w="935" w:type="dxa"/>
            <w:tcBorders>
              <w:top w:val="nil"/>
              <w:left w:val="nil"/>
              <w:bottom w:val="single" w:color="auto" w:sz="4" w:space="0"/>
              <w:right w:val="single" w:color="auto" w:sz="8"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93.33%</w:t>
            </w:r>
          </w:p>
        </w:tc>
      </w:tr>
      <w:tr>
        <w:tblPrEx>
          <w:tblLayout w:type="fixed"/>
          <w:tblCellMar>
            <w:top w:w="0" w:type="dxa"/>
            <w:left w:w="108" w:type="dxa"/>
            <w:bottom w:w="0" w:type="dxa"/>
            <w:right w:w="108" w:type="dxa"/>
          </w:tblCellMar>
        </w:tblPrEx>
        <w:trPr>
          <w:trHeight w:val="360" w:hRule="exact"/>
        </w:trPr>
        <w:tc>
          <w:tcPr>
            <w:tcW w:w="547" w:type="dxa"/>
            <w:tcBorders>
              <w:top w:val="nil"/>
              <w:left w:val="single" w:color="auto" w:sz="8" w:space="0"/>
              <w:bottom w:val="single" w:color="auto" w:sz="4" w:space="0"/>
              <w:right w:val="single" w:color="auto" w:sz="4" w:space="0"/>
            </w:tcBorders>
            <w:shd w:val="clear" w:color="000000" w:fill="9BBB59"/>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6</w:t>
            </w:r>
          </w:p>
        </w:tc>
        <w:tc>
          <w:tcPr>
            <w:tcW w:w="2009"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工程机械运用与维护</w:t>
            </w:r>
          </w:p>
        </w:tc>
        <w:tc>
          <w:tcPr>
            <w:tcW w:w="709"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31</w:t>
            </w:r>
          </w:p>
        </w:tc>
        <w:tc>
          <w:tcPr>
            <w:tcW w:w="646"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31</w:t>
            </w:r>
          </w:p>
        </w:tc>
        <w:tc>
          <w:tcPr>
            <w:tcW w:w="642"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28</w:t>
            </w:r>
          </w:p>
        </w:tc>
        <w:tc>
          <w:tcPr>
            <w:tcW w:w="712"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3</w:t>
            </w:r>
          </w:p>
        </w:tc>
        <w:tc>
          <w:tcPr>
            <w:tcW w:w="686"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　</w:t>
            </w:r>
          </w:p>
        </w:tc>
        <w:tc>
          <w:tcPr>
            <w:tcW w:w="684"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　</w:t>
            </w:r>
          </w:p>
        </w:tc>
        <w:tc>
          <w:tcPr>
            <w:tcW w:w="682"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0</w:t>
            </w:r>
          </w:p>
        </w:tc>
        <w:tc>
          <w:tcPr>
            <w:tcW w:w="690"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　</w:t>
            </w:r>
          </w:p>
        </w:tc>
        <w:tc>
          <w:tcPr>
            <w:tcW w:w="935" w:type="dxa"/>
            <w:tcBorders>
              <w:top w:val="nil"/>
              <w:left w:val="nil"/>
              <w:bottom w:val="single" w:color="auto" w:sz="4" w:space="0"/>
              <w:right w:val="single" w:color="auto" w:sz="8" w:space="0"/>
            </w:tcBorders>
            <w:shd w:val="clear" w:color="000000" w:fill="9BBB59"/>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100.00%</w:t>
            </w:r>
          </w:p>
        </w:tc>
      </w:tr>
      <w:tr>
        <w:tblPrEx>
          <w:tblLayout w:type="fixed"/>
          <w:tblCellMar>
            <w:top w:w="0" w:type="dxa"/>
            <w:left w:w="108" w:type="dxa"/>
            <w:bottom w:w="0" w:type="dxa"/>
            <w:right w:w="108" w:type="dxa"/>
          </w:tblCellMar>
        </w:tblPrEx>
        <w:trPr>
          <w:trHeight w:val="360" w:hRule="exact"/>
        </w:trPr>
        <w:tc>
          <w:tcPr>
            <w:tcW w:w="547" w:type="dxa"/>
            <w:tcBorders>
              <w:top w:val="nil"/>
              <w:left w:val="single" w:color="auto" w:sz="8"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7</w:t>
            </w:r>
          </w:p>
        </w:tc>
        <w:tc>
          <w:tcPr>
            <w:tcW w:w="20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焊接技术及自动化</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32</w:t>
            </w:r>
          </w:p>
        </w:tc>
        <w:tc>
          <w:tcPr>
            <w:tcW w:w="6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27</w:t>
            </w:r>
          </w:p>
        </w:tc>
        <w:tc>
          <w:tcPr>
            <w:tcW w:w="6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27</w:t>
            </w:r>
          </w:p>
        </w:tc>
        <w:tc>
          <w:tcPr>
            <w:tcW w:w="71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0</w:t>
            </w:r>
          </w:p>
        </w:tc>
        <w:tc>
          <w:tcPr>
            <w:tcW w:w="68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1</w:t>
            </w:r>
          </w:p>
        </w:tc>
        <w:tc>
          <w:tcPr>
            <w:tcW w:w="6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　</w:t>
            </w:r>
          </w:p>
        </w:tc>
        <w:tc>
          <w:tcPr>
            <w:tcW w:w="68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4</w:t>
            </w:r>
          </w:p>
        </w:tc>
        <w:tc>
          <w:tcPr>
            <w:tcW w:w="69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　</w:t>
            </w:r>
          </w:p>
        </w:tc>
        <w:tc>
          <w:tcPr>
            <w:tcW w:w="935" w:type="dxa"/>
            <w:tcBorders>
              <w:top w:val="nil"/>
              <w:left w:val="nil"/>
              <w:bottom w:val="single" w:color="auto" w:sz="4" w:space="0"/>
              <w:right w:val="single" w:color="auto" w:sz="8"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87.50%</w:t>
            </w:r>
          </w:p>
        </w:tc>
      </w:tr>
      <w:tr>
        <w:tblPrEx>
          <w:tblLayout w:type="fixed"/>
          <w:tblCellMar>
            <w:top w:w="0" w:type="dxa"/>
            <w:left w:w="108" w:type="dxa"/>
            <w:bottom w:w="0" w:type="dxa"/>
            <w:right w:w="108" w:type="dxa"/>
          </w:tblCellMar>
        </w:tblPrEx>
        <w:trPr>
          <w:trHeight w:val="360" w:hRule="exact"/>
        </w:trPr>
        <w:tc>
          <w:tcPr>
            <w:tcW w:w="547" w:type="dxa"/>
            <w:tcBorders>
              <w:top w:val="nil"/>
              <w:left w:val="single" w:color="auto" w:sz="8" w:space="0"/>
              <w:bottom w:val="single" w:color="auto" w:sz="4" w:space="0"/>
              <w:right w:val="single" w:color="auto" w:sz="4" w:space="0"/>
            </w:tcBorders>
            <w:shd w:val="clear" w:color="000000" w:fill="9BBB59"/>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8</w:t>
            </w:r>
          </w:p>
        </w:tc>
        <w:tc>
          <w:tcPr>
            <w:tcW w:w="2009"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机电一体化技术</w:t>
            </w:r>
          </w:p>
        </w:tc>
        <w:tc>
          <w:tcPr>
            <w:tcW w:w="709"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76</w:t>
            </w:r>
          </w:p>
        </w:tc>
        <w:tc>
          <w:tcPr>
            <w:tcW w:w="646"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71</w:t>
            </w:r>
          </w:p>
        </w:tc>
        <w:tc>
          <w:tcPr>
            <w:tcW w:w="642"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62</w:t>
            </w:r>
          </w:p>
        </w:tc>
        <w:tc>
          <w:tcPr>
            <w:tcW w:w="712"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9</w:t>
            </w:r>
          </w:p>
        </w:tc>
        <w:tc>
          <w:tcPr>
            <w:tcW w:w="686"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2</w:t>
            </w:r>
          </w:p>
        </w:tc>
        <w:tc>
          <w:tcPr>
            <w:tcW w:w="684"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　</w:t>
            </w:r>
          </w:p>
        </w:tc>
        <w:tc>
          <w:tcPr>
            <w:tcW w:w="682"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3</w:t>
            </w:r>
          </w:p>
        </w:tc>
        <w:tc>
          <w:tcPr>
            <w:tcW w:w="690"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　</w:t>
            </w:r>
          </w:p>
        </w:tc>
        <w:tc>
          <w:tcPr>
            <w:tcW w:w="935" w:type="dxa"/>
            <w:tcBorders>
              <w:top w:val="nil"/>
              <w:left w:val="nil"/>
              <w:bottom w:val="single" w:color="auto" w:sz="4" w:space="0"/>
              <w:right w:val="single" w:color="auto" w:sz="8" w:space="0"/>
            </w:tcBorders>
            <w:shd w:val="clear" w:color="000000" w:fill="9BBB59"/>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96.05%</w:t>
            </w:r>
          </w:p>
        </w:tc>
      </w:tr>
      <w:tr>
        <w:tblPrEx>
          <w:tblLayout w:type="fixed"/>
          <w:tblCellMar>
            <w:top w:w="0" w:type="dxa"/>
            <w:left w:w="108" w:type="dxa"/>
            <w:bottom w:w="0" w:type="dxa"/>
            <w:right w:w="108" w:type="dxa"/>
          </w:tblCellMar>
        </w:tblPrEx>
        <w:trPr>
          <w:trHeight w:val="360" w:hRule="exact"/>
        </w:trPr>
        <w:tc>
          <w:tcPr>
            <w:tcW w:w="547" w:type="dxa"/>
            <w:tcBorders>
              <w:top w:val="nil"/>
              <w:left w:val="single" w:color="auto" w:sz="8"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9</w:t>
            </w:r>
          </w:p>
        </w:tc>
        <w:tc>
          <w:tcPr>
            <w:tcW w:w="20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机械设计与制造</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93</w:t>
            </w:r>
          </w:p>
        </w:tc>
        <w:tc>
          <w:tcPr>
            <w:tcW w:w="6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81</w:t>
            </w:r>
          </w:p>
        </w:tc>
        <w:tc>
          <w:tcPr>
            <w:tcW w:w="6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45</w:t>
            </w:r>
          </w:p>
        </w:tc>
        <w:tc>
          <w:tcPr>
            <w:tcW w:w="71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36</w:t>
            </w:r>
          </w:p>
        </w:tc>
        <w:tc>
          <w:tcPr>
            <w:tcW w:w="68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4</w:t>
            </w:r>
          </w:p>
        </w:tc>
        <w:tc>
          <w:tcPr>
            <w:tcW w:w="6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3</w:t>
            </w:r>
          </w:p>
        </w:tc>
        <w:tc>
          <w:tcPr>
            <w:tcW w:w="68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5</w:t>
            </w:r>
          </w:p>
        </w:tc>
        <w:tc>
          <w:tcPr>
            <w:tcW w:w="69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　</w:t>
            </w:r>
          </w:p>
        </w:tc>
        <w:tc>
          <w:tcPr>
            <w:tcW w:w="935" w:type="dxa"/>
            <w:tcBorders>
              <w:top w:val="nil"/>
              <w:left w:val="nil"/>
              <w:bottom w:val="single" w:color="auto" w:sz="4" w:space="0"/>
              <w:right w:val="single" w:color="auto" w:sz="8"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94.62%</w:t>
            </w:r>
          </w:p>
        </w:tc>
      </w:tr>
      <w:tr>
        <w:tblPrEx>
          <w:tblLayout w:type="fixed"/>
          <w:tblCellMar>
            <w:top w:w="0" w:type="dxa"/>
            <w:left w:w="108" w:type="dxa"/>
            <w:bottom w:w="0" w:type="dxa"/>
            <w:right w:w="108" w:type="dxa"/>
          </w:tblCellMar>
        </w:tblPrEx>
        <w:trPr>
          <w:trHeight w:val="360" w:hRule="exact"/>
        </w:trPr>
        <w:tc>
          <w:tcPr>
            <w:tcW w:w="547" w:type="dxa"/>
            <w:tcBorders>
              <w:top w:val="nil"/>
              <w:left w:val="single" w:color="auto" w:sz="8" w:space="0"/>
              <w:bottom w:val="single" w:color="auto" w:sz="4" w:space="0"/>
              <w:right w:val="single" w:color="auto" w:sz="4" w:space="0"/>
            </w:tcBorders>
            <w:shd w:val="clear" w:color="000000" w:fill="9BBB59"/>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10</w:t>
            </w:r>
          </w:p>
        </w:tc>
        <w:tc>
          <w:tcPr>
            <w:tcW w:w="2009"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机械制造与自动化</w:t>
            </w:r>
          </w:p>
        </w:tc>
        <w:tc>
          <w:tcPr>
            <w:tcW w:w="709"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112</w:t>
            </w:r>
          </w:p>
        </w:tc>
        <w:tc>
          <w:tcPr>
            <w:tcW w:w="646"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102</w:t>
            </w:r>
          </w:p>
        </w:tc>
        <w:tc>
          <w:tcPr>
            <w:tcW w:w="642"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60</w:t>
            </w:r>
          </w:p>
        </w:tc>
        <w:tc>
          <w:tcPr>
            <w:tcW w:w="712"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36</w:t>
            </w:r>
          </w:p>
        </w:tc>
        <w:tc>
          <w:tcPr>
            <w:tcW w:w="686"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2</w:t>
            </w:r>
          </w:p>
        </w:tc>
        <w:tc>
          <w:tcPr>
            <w:tcW w:w="684"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3</w:t>
            </w:r>
          </w:p>
        </w:tc>
        <w:tc>
          <w:tcPr>
            <w:tcW w:w="682"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5</w:t>
            </w:r>
          </w:p>
        </w:tc>
        <w:tc>
          <w:tcPr>
            <w:tcW w:w="690"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6</w:t>
            </w:r>
          </w:p>
        </w:tc>
        <w:tc>
          <w:tcPr>
            <w:tcW w:w="935" w:type="dxa"/>
            <w:tcBorders>
              <w:top w:val="nil"/>
              <w:left w:val="nil"/>
              <w:bottom w:val="single" w:color="auto" w:sz="4" w:space="0"/>
              <w:right w:val="single" w:color="auto" w:sz="8" w:space="0"/>
            </w:tcBorders>
            <w:shd w:val="clear" w:color="000000" w:fill="9BBB59"/>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95.54%</w:t>
            </w:r>
          </w:p>
        </w:tc>
      </w:tr>
      <w:tr>
        <w:tblPrEx>
          <w:tblLayout w:type="fixed"/>
          <w:tblCellMar>
            <w:top w:w="0" w:type="dxa"/>
            <w:left w:w="108" w:type="dxa"/>
            <w:bottom w:w="0" w:type="dxa"/>
            <w:right w:w="108" w:type="dxa"/>
          </w:tblCellMar>
        </w:tblPrEx>
        <w:trPr>
          <w:trHeight w:val="360" w:hRule="exact"/>
        </w:trPr>
        <w:tc>
          <w:tcPr>
            <w:tcW w:w="547" w:type="dxa"/>
            <w:tcBorders>
              <w:top w:val="nil"/>
              <w:left w:val="single" w:color="auto" w:sz="8"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11</w:t>
            </w:r>
          </w:p>
        </w:tc>
        <w:tc>
          <w:tcPr>
            <w:tcW w:w="20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计算机应用技术</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60</w:t>
            </w:r>
          </w:p>
        </w:tc>
        <w:tc>
          <w:tcPr>
            <w:tcW w:w="6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59</w:t>
            </w:r>
          </w:p>
        </w:tc>
        <w:tc>
          <w:tcPr>
            <w:tcW w:w="6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31</w:t>
            </w:r>
          </w:p>
        </w:tc>
        <w:tc>
          <w:tcPr>
            <w:tcW w:w="71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28</w:t>
            </w:r>
          </w:p>
        </w:tc>
        <w:tc>
          <w:tcPr>
            <w:tcW w:w="68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　</w:t>
            </w:r>
          </w:p>
        </w:tc>
        <w:tc>
          <w:tcPr>
            <w:tcW w:w="6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　</w:t>
            </w:r>
          </w:p>
        </w:tc>
        <w:tc>
          <w:tcPr>
            <w:tcW w:w="68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1</w:t>
            </w:r>
          </w:p>
        </w:tc>
        <w:tc>
          <w:tcPr>
            <w:tcW w:w="69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　</w:t>
            </w:r>
          </w:p>
        </w:tc>
        <w:tc>
          <w:tcPr>
            <w:tcW w:w="935" w:type="dxa"/>
            <w:tcBorders>
              <w:top w:val="nil"/>
              <w:left w:val="nil"/>
              <w:bottom w:val="single" w:color="auto" w:sz="4" w:space="0"/>
              <w:right w:val="single" w:color="auto" w:sz="8"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98.33%</w:t>
            </w:r>
          </w:p>
        </w:tc>
      </w:tr>
      <w:tr>
        <w:tblPrEx>
          <w:tblLayout w:type="fixed"/>
          <w:tblCellMar>
            <w:top w:w="0" w:type="dxa"/>
            <w:left w:w="108" w:type="dxa"/>
            <w:bottom w:w="0" w:type="dxa"/>
            <w:right w:w="108" w:type="dxa"/>
          </w:tblCellMar>
        </w:tblPrEx>
        <w:trPr>
          <w:trHeight w:val="360" w:hRule="exact"/>
        </w:trPr>
        <w:tc>
          <w:tcPr>
            <w:tcW w:w="547" w:type="dxa"/>
            <w:tcBorders>
              <w:top w:val="nil"/>
              <w:left w:val="single" w:color="auto" w:sz="8" w:space="0"/>
              <w:bottom w:val="single" w:color="auto" w:sz="4" w:space="0"/>
              <w:right w:val="single" w:color="auto" w:sz="4" w:space="0"/>
            </w:tcBorders>
            <w:shd w:val="clear" w:color="000000" w:fill="9BBB59"/>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12</w:t>
            </w:r>
          </w:p>
        </w:tc>
        <w:tc>
          <w:tcPr>
            <w:tcW w:w="2009"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模具设计与制造</w:t>
            </w:r>
          </w:p>
        </w:tc>
        <w:tc>
          <w:tcPr>
            <w:tcW w:w="709"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38</w:t>
            </w:r>
          </w:p>
        </w:tc>
        <w:tc>
          <w:tcPr>
            <w:tcW w:w="646"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35</w:t>
            </w:r>
          </w:p>
        </w:tc>
        <w:tc>
          <w:tcPr>
            <w:tcW w:w="642"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15</w:t>
            </w:r>
          </w:p>
        </w:tc>
        <w:tc>
          <w:tcPr>
            <w:tcW w:w="712"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20</w:t>
            </w:r>
          </w:p>
        </w:tc>
        <w:tc>
          <w:tcPr>
            <w:tcW w:w="686"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1</w:t>
            </w:r>
          </w:p>
        </w:tc>
        <w:tc>
          <w:tcPr>
            <w:tcW w:w="684"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1</w:t>
            </w:r>
          </w:p>
        </w:tc>
        <w:tc>
          <w:tcPr>
            <w:tcW w:w="682"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1</w:t>
            </w:r>
          </w:p>
        </w:tc>
        <w:tc>
          <w:tcPr>
            <w:tcW w:w="690"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　</w:t>
            </w:r>
          </w:p>
        </w:tc>
        <w:tc>
          <w:tcPr>
            <w:tcW w:w="935" w:type="dxa"/>
            <w:tcBorders>
              <w:top w:val="nil"/>
              <w:left w:val="nil"/>
              <w:bottom w:val="single" w:color="auto" w:sz="4" w:space="0"/>
              <w:right w:val="single" w:color="auto" w:sz="8" w:space="0"/>
            </w:tcBorders>
            <w:shd w:val="clear" w:color="000000" w:fill="9BBB59"/>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97.37%</w:t>
            </w:r>
          </w:p>
        </w:tc>
      </w:tr>
      <w:tr>
        <w:tblPrEx>
          <w:tblLayout w:type="fixed"/>
          <w:tblCellMar>
            <w:top w:w="0" w:type="dxa"/>
            <w:left w:w="108" w:type="dxa"/>
            <w:bottom w:w="0" w:type="dxa"/>
            <w:right w:w="108" w:type="dxa"/>
          </w:tblCellMar>
        </w:tblPrEx>
        <w:trPr>
          <w:trHeight w:val="360" w:hRule="exact"/>
        </w:trPr>
        <w:tc>
          <w:tcPr>
            <w:tcW w:w="547" w:type="dxa"/>
            <w:tcBorders>
              <w:top w:val="nil"/>
              <w:left w:val="single" w:color="auto" w:sz="8"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13</w:t>
            </w:r>
          </w:p>
        </w:tc>
        <w:tc>
          <w:tcPr>
            <w:tcW w:w="20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农产品质量检测</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121</w:t>
            </w:r>
          </w:p>
        </w:tc>
        <w:tc>
          <w:tcPr>
            <w:tcW w:w="6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118</w:t>
            </w:r>
          </w:p>
        </w:tc>
        <w:tc>
          <w:tcPr>
            <w:tcW w:w="6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47</w:t>
            </w:r>
          </w:p>
        </w:tc>
        <w:tc>
          <w:tcPr>
            <w:tcW w:w="71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71</w:t>
            </w:r>
          </w:p>
        </w:tc>
        <w:tc>
          <w:tcPr>
            <w:tcW w:w="68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1</w:t>
            </w:r>
          </w:p>
        </w:tc>
        <w:tc>
          <w:tcPr>
            <w:tcW w:w="6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1</w:t>
            </w:r>
          </w:p>
        </w:tc>
        <w:tc>
          <w:tcPr>
            <w:tcW w:w="68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1</w:t>
            </w:r>
          </w:p>
        </w:tc>
        <w:tc>
          <w:tcPr>
            <w:tcW w:w="69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　</w:t>
            </w:r>
          </w:p>
        </w:tc>
        <w:tc>
          <w:tcPr>
            <w:tcW w:w="935" w:type="dxa"/>
            <w:tcBorders>
              <w:top w:val="nil"/>
              <w:left w:val="nil"/>
              <w:bottom w:val="single" w:color="auto" w:sz="4" w:space="0"/>
              <w:right w:val="single" w:color="auto" w:sz="8"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99.17%</w:t>
            </w:r>
          </w:p>
        </w:tc>
      </w:tr>
      <w:tr>
        <w:tblPrEx>
          <w:tblLayout w:type="fixed"/>
          <w:tblCellMar>
            <w:top w:w="0" w:type="dxa"/>
            <w:left w:w="108" w:type="dxa"/>
            <w:bottom w:w="0" w:type="dxa"/>
            <w:right w:w="108" w:type="dxa"/>
          </w:tblCellMar>
        </w:tblPrEx>
        <w:trPr>
          <w:trHeight w:val="360" w:hRule="exact"/>
        </w:trPr>
        <w:tc>
          <w:tcPr>
            <w:tcW w:w="547" w:type="dxa"/>
            <w:tcBorders>
              <w:top w:val="nil"/>
              <w:left w:val="single" w:color="auto" w:sz="8" w:space="0"/>
              <w:bottom w:val="single" w:color="auto" w:sz="4" w:space="0"/>
              <w:right w:val="single" w:color="auto" w:sz="4" w:space="0"/>
            </w:tcBorders>
            <w:shd w:val="clear" w:color="000000" w:fill="9BBB59"/>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14</w:t>
            </w:r>
          </w:p>
        </w:tc>
        <w:tc>
          <w:tcPr>
            <w:tcW w:w="2009"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农村电气化技术</w:t>
            </w:r>
          </w:p>
        </w:tc>
        <w:tc>
          <w:tcPr>
            <w:tcW w:w="709"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38</w:t>
            </w:r>
          </w:p>
        </w:tc>
        <w:tc>
          <w:tcPr>
            <w:tcW w:w="646"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34</w:t>
            </w:r>
          </w:p>
        </w:tc>
        <w:tc>
          <w:tcPr>
            <w:tcW w:w="642"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23</w:t>
            </w:r>
          </w:p>
        </w:tc>
        <w:tc>
          <w:tcPr>
            <w:tcW w:w="712"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11</w:t>
            </w:r>
          </w:p>
        </w:tc>
        <w:tc>
          <w:tcPr>
            <w:tcW w:w="686"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1</w:t>
            </w:r>
          </w:p>
        </w:tc>
        <w:tc>
          <w:tcPr>
            <w:tcW w:w="684"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　</w:t>
            </w:r>
          </w:p>
        </w:tc>
        <w:tc>
          <w:tcPr>
            <w:tcW w:w="682"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3</w:t>
            </w:r>
          </w:p>
        </w:tc>
        <w:tc>
          <w:tcPr>
            <w:tcW w:w="690"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　</w:t>
            </w:r>
          </w:p>
        </w:tc>
        <w:tc>
          <w:tcPr>
            <w:tcW w:w="935" w:type="dxa"/>
            <w:tcBorders>
              <w:top w:val="nil"/>
              <w:left w:val="nil"/>
              <w:bottom w:val="single" w:color="auto" w:sz="4" w:space="0"/>
              <w:right w:val="single" w:color="auto" w:sz="8" w:space="0"/>
            </w:tcBorders>
            <w:shd w:val="clear" w:color="000000" w:fill="9BBB59"/>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92.11%</w:t>
            </w:r>
          </w:p>
        </w:tc>
      </w:tr>
      <w:tr>
        <w:tblPrEx>
          <w:tblLayout w:type="fixed"/>
          <w:tblCellMar>
            <w:top w:w="0" w:type="dxa"/>
            <w:left w:w="108" w:type="dxa"/>
            <w:bottom w:w="0" w:type="dxa"/>
            <w:right w:w="108" w:type="dxa"/>
          </w:tblCellMar>
        </w:tblPrEx>
        <w:trPr>
          <w:trHeight w:val="360" w:hRule="exact"/>
        </w:trPr>
        <w:tc>
          <w:tcPr>
            <w:tcW w:w="547" w:type="dxa"/>
            <w:tcBorders>
              <w:top w:val="nil"/>
              <w:left w:val="single" w:color="auto" w:sz="8"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15</w:t>
            </w:r>
          </w:p>
        </w:tc>
        <w:tc>
          <w:tcPr>
            <w:tcW w:w="20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农业机械应用技术</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68</w:t>
            </w:r>
          </w:p>
        </w:tc>
        <w:tc>
          <w:tcPr>
            <w:tcW w:w="6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66</w:t>
            </w:r>
          </w:p>
        </w:tc>
        <w:tc>
          <w:tcPr>
            <w:tcW w:w="6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42</w:t>
            </w:r>
          </w:p>
        </w:tc>
        <w:tc>
          <w:tcPr>
            <w:tcW w:w="71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24</w:t>
            </w:r>
          </w:p>
        </w:tc>
        <w:tc>
          <w:tcPr>
            <w:tcW w:w="68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　</w:t>
            </w:r>
          </w:p>
        </w:tc>
        <w:tc>
          <w:tcPr>
            <w:tcW w:w="6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　</w:t>
            </w:r>
          </w:p>
        </w:tc>
        <w:tc>
          <w:tcPr>
            <w:tcW w:w="68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2</w:t>
            </w:r>
          </w:p>
        </w:tc>
        <w:tc>
          <w:tcPr>
            <w:tcW w:w="69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　</w:t>
            </w:r>
          </w:p>
        </w:tc>
        <w:tc>
          <w:tcPr>
            <w:tcW w:w="935" w:type="dxa"/>
            <w:tcBorders>
              <w:top w:val="nil"/>
              <w:left w:val="nil"/>
              <w:bottom w:val="single" w:color="auto" w:sz="4" w:space="0"/>
              <w:right w:val="single" w:color="auto" w:sz="8"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97.06%</w:t>
            </w:r>
          </w:p>
        </w:tc>
      </w:tr>
      <w:tr>
        <w:tblPrEx>
          <w:tblLayout w:type="fixed"/>
          <w:tblCellMar>
            <w:top w:w="0" w:type="dxa"/>
            <w:left w:w="108" w:type="dxa"/>
            <w:bottom w:w="0" w:type="dxa"/>
            <w:right w:w="108" w:type="dxa"/>
          </w:tblCellMar>
        </w:tblPrEx>
        <w:trPr>
          <w:trHeight w:val="360" w:hRule="exact"/>
        </w:trPr>
        <w:tc>
          <w:tcPr>
            <w:tcW w:w="547" w:type="dxa"/>
            <w:tcBorders>
              <w:top w:val="nil"/>
              <w:left w:val="single" w:color="auto" w:sz="8" w:space="0"/>
              <w:bottom w:val="single" w:color="auto" w:sz="4" w:space="0"/>
              <w:right w:val="single" w:color="auto" w:sz="4" w:space="0"/>
            </w:tcBorders>
            <w:shd w:val="clear" w:color="000000" w:fill="9BBB59"/>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16</w:t>
            </w:r>
          </w:p>
        </w:tc>
        <w:tc>
          <w:tcPr>
            <w:tcW w:w="2009"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农业机械制造与装配</w:t>
            </w:r>
          </w:p>
        </w:tc>
        <w:tc>
          <w:tcPr>
            <w:tcW w:w="709"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44</w:t>
            </w:r>
          </w:p>
        </w:tc>
        <w:tc>
          <w:tcPr>
            <w:tcW w:w="646"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42</w:t>
            </w:r>
          </w:p>
        </w:tc>
        <w:tc>
          <w:tcPr>
            <w:tcW w:w="642"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28</w:t>
            </w:r>
          </w:p>
        </w:tc>
        <w:tc>
          <w:tcPr>
            <w:tcW w:w="712"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14</w:t>
            </w:r>
          </w:p>
        </w:tc>
        <w:tc>
          <w:tcPr>
            <w:tcW w:w="686"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1</w:t>
            </w:r>
          </w:p>
        </w:tc>
        <w:tc>
          <w:tcPr>
            <w:tcW w:w="684"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　</w:t>
            </w:r>
          </w:p>
        </w:tc>
        <w:tc>
          <w:tcPr>
            <w:tcW w:w="682"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1</w:t>
            </w:r>
          </w:p>
        </w:tc>
        <w:tc>
          <w:tcPr>
            <w:tcW w:w="690"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　</w:t>
            </w:r>
          </w:p>
        </w:tc>
        <w:tc>
          <w:tcPr>
            <w:tcW w:w="935" w:type="dxa"/>
            <w:tcBorders>
              <w:top w:val="nil"/>
              <w:left w:val="nil"/>
              <w:bottom w:val="single" w:color="auto" w:sz="4" w:space="0"/>
              <w:right w:val="single" w:color="auto" w:sz="8" w:space="0"/>
            </w:tcBorders>
            <w:shd w:val="clear" w:color="000000" w:fill="9BBB59"/>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97.73%</w:t>
            </w:r>
          </w:p>
        </w:tc>
      </w:tr>
      <w:tr>
        <w:tblPrEx>
          <w:tblLayout w:type="fixed"/>
          <w:tblCellMar>
            <w:top w:w="0" w:type="dxa"/>
            <w:left w:w="108" w:type="dxa"/>
            <w:bottom w:w="0" w:type="dxa"/>
            <w:right w:w="108" w:type="dxa"/>
          </w:tblCellMar>
        </w:tblPrEx>
        <w:trPr>
          <w:trHeight w:val="360" w:hRule="exact"/>
        </w:trPr>
        <w:tc>
          <w:tcPr>
            <w:tcW w:w="547" w:type="dxa"/>
            <w:tcBorders>
              <w:top w:val="nil"/>
              <w:left w:val="single" w:color="auto" w:sz="8"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17</w:t>
            </w:r>
          </w:p>
        </w:tc>
        <w:tc>
          <w:tcPr>
            <w:tcW w:w="20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葡萄与葡萄酒工程</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52</w:t>
            </w:r>
          </w:p>
        </w:tc>
        <w:tc>
          <w:tcPr>
            <w:tcW w:w="6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42</w:t>
            </w:r>
          </w:p>
        </w:tc>
        <w:tc>
          <w:tcPr>
            <w:tcW w:w="6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10</w:t>
            </w:r>
          </w:p>
        </w:tc>
        <w:tc>
          <w:tcPr>
            <w:tcW w:w="71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32</w:t>
            </w:r>
          </w:p>
        </w:tc>
        <w:tc>
          <w:tcPr>
            <w:tcW w:w="68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4</w:t>
            </w:r>
          </w:p>
        </w:tc>
        <w:tc>
          <w:tcPr>
            <w:tcW w:w="6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1</w:t>
            </w:r>
          </w:p>
        </w:tc>
        <w:tc>
          <w:tcPr>
            <w:tcW w:w="68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5</w:t>
            </w:r>
          </w:p>
        </w:tc>
        <w:tc>
          <w:tcPr>
            <w:tcW w:w="69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　</w:t>
            </w:r>
          </w:p>
        </w:tc>
        <w:tc>
          <w:tcPr>
            <w:tcW w:w="935" w:type="dxa"/>
            <w:tcBorders>
              <w:top w:val="nil"/>
              <w:left w:val="nil"/>
              <w:bottom w:val="single" w:color="auto" w:sz="4" w:space="0"/>
              <w:right w:val="single" w:color="auto" w:sz="8"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90.38%</w:t>
            </w:r>
          </w:p>
        </w:tc>
      </w:tr>
      <w:tr>
        <w:tblPrEx>
          <w:tblLayout w:type="fixed"/>
          <w:tblCellMar>
            <w:top w:w="0" w:type="dxa"/>
            <w:left w:w="108" w:type="dxa"/>
            <w:bottom w:w="0" w:type="dxa"/>
            <w:right w:w="108" w:type="dxa"/>
          </w:tblCellMar>
        </w:tblPrEx>
        <w:trPr>
          <w:trHeight w:val="360" w:hRule="exact"/>
        </w:trPr>
        <w:tc>
          <w:tcPr>
            <w:tcW w:w="547" w:type="dxa"/>
            <w:tcBorders>
              <w:top w:val="nil"/>
              <w:left w:val="single" w:color="auto" w:sz="8" w:space="0"/>
              <w:bottom w:val="single" w:color="auto" w:sz="4" w:space="0"/>
              <w:right w:val="single" w:color="auto" w:sz="4" w:space="0"/>
            </w:tcBorders>
            <w:shd w:val="clear" w:color="000000" w:fill="9BBB59"/>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18</w:t>
            </w:r>
          </w:p>
        </w:tc>
        <w:tc>
          <w:tcPr>
            <w:tcW w:w="2009"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汽车电子技术</w:t>
            </w:r>
          </w:p>
        </w:tc>
        <w:tc>
          <w:tcPr>
            <w:tcW w:w="709"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31</w:t>
            </w:r>
          </w:p>
        </w:tc>
        <w:tc>
          <w:tcPr>
            <w:tcW w:w="646"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25</w:t>
            </w:r>
          </w:p>
        </w:tc>
        <w:tc>
          <w:tcPr>
            <w:tcW w:w="642"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21</w:t>
            </w:r>
          </w:p>
        </w:tc>
        <w:tc>
          <w:tcPr>
            <w:tcW w:w="712"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4</w:t>
            </w:r>
          </w:p>
        </w:tc>
        <w:tc>
          <w:tcPr>
            <w:tcW w:w="686"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2</w:t>
            </w:r>
          </w:p>
        </w:tc>
        <w:tc>
          <w:tcPr>
            <w:tcW w:w="684"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　</w:t>
            </w:r>
          </w:p>
        </w:tc>
        <w:tc>
          <w:tcPr>
            <w:tcW w:w="682"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4</w:t>
            </w:r>
          </w:p>
        </w:tc>
        <w:tc>
          <w:tcPr>
            <w:tcW w:w="690"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　</w:t>
            </w:r>
          </w:p>
        </w:tc>
        <w:tc>
          <w:tcPr>
            <w:tcW w:w="935" w:type="dxa"/>
            <w:tcBorders>
              <w:top w:val="nil"/>
              <w:left w:val="nil"/>
              <w:bottom w:val="single" w:color="auto" w:sz="4" w:space="0"/>
              <w:right w:val="single" w:color="auto" w:sz="8" w:space="0"/>
            </w:tcBorders>
            <w:shd w:val="clear" w:color="000000" w:fill="9BBB59"/>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87.10%</w:t>
            </w:r>
          </w:p>
        </w:tc>
      </w:tr>
      <w:tr>
        <w:tblPrEx>
          <w:tblLayout w:type="fixed"/>
          <w:tblCellMar>
            <w:top w:w="0" w:type="dxa"/>
            <w:left w:w="108" w:type="dxa"/>
            <w:bottom w:w="0" w:type="dxa"/>
            <w:right w:w="108" w:type="dxa"/>
          </w:tblCellMar>
        </w:tblPrEx>
        <w:trPr>
          <w:trHeight w:val="360" w:hRule="exact"/>
        </w:trPr>
        <w:tc>
          <w:tcPr>
            <w:tcW w:w="547" w:type="dxa"/>
            <w:tcBorders>
              <w:top w:val="nil"/>
              <w:left w:val="single" w:color="auto" w:sz="8"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19</w:t>
            </w:r>
          </w:p>
        </w:tc>
        <w:tc>
          <w:tcPr>
            <w:tcW w:w="20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汽车技术服务与营销</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62</w:t>
            </w:r>
          </w:p>
        </w:tc>
        <w:tc>
          <w:tcPr>
            <w:tcW w:w="6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61</w:t>
            </w:r>
          </w:p>
        </w:tc>
        <w:tc>
          <w:tcPr>
            <w:tcW w:w="6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38</w:t>
            </w:r>
          </w:p>
        </w:tc>
        <w:tc>
          <w:tcPr>
            <w:tcW w:w="71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23</w:t>
            </w:r>
          </w:p>
        </w:tc>
        <w:tc>
          <w:tcPr>
            <w:tcW w:w="68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　</w:t>
            </w:r>
          </w:p>
        </w:tc>
        <w:tc>
          <w:tcPr>
            <w:tcW w:w="6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　</w:t>
            </w:r>
          </w:p>
        </w:tc>
        <w:tc>
          <w:tcPr>
            <w:tcW w:w="68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1</w:t>
            </w:r>
          </w:p>
        </w:tc>
        <w:tc>
          <w:tcPr>
            <w:tcW w:w="69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　</w:t>
            </w:r>
          </w:p>
        </w:tc>
        <w:tc>
          <w:tcPr>
            <w:tcW w:w="935" w:type="dxa"/>
            <w:tcBorders>
              <w:top w:val="nil"/>
              <w:left w:val="nil"/>
              <w:bottom w:val="single" w:color="auto" w:sz="4" w:space="0"/>
              <w:right w:val="single" w:color="auto" w:sz="8"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98.39%</w:t>
            </w:r>
          </w:p>
        </w:tc>
      </w:tr>
      <w:tr>
        <w:tblPrEx>
          <w:tblLayout w:type="fixed"/>
          <w:tblCellMar>
            <w:top w:w="0" w:type="dxa"/>
            <w:left w:w="108" w:type="dxa"/>
            <w:bottom w:w="0" w:type="dxa"/>
            <w:right w:w="108" w:type="dxa"/>
          </w:tblCellMar>
        </w:tblPrEx>
        <w:trPr>
          <w:trHeight w:val="360" w:hRule="exact"/>
        </w:trPr>
        <w:tc>
          <w:tcPr>
            <w:tcW w:w="547" w:type="dxa"/>
            <w:tcBorders>
              <w:top w:val="nil"/>
              <w:left w:val="single" w:color="auto" w:sz="8" w:space="0"/>
              <w:bottom w:val="single" w:color="auto" w:sz="4" w:space="0"/>
              <w:right w:val="single" w:color="auto" w:sz="4" w:space="0"/>
            </w:tcBorders>
            <w:shd w:val="clear" w:color="000000" w:fill="9BBB59"/>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20</w:t>
            </w:r>
          </w:p>
        </w:tc>
        <w:tc>
          <w:tcPr>
            <w:tcW w:w="2009"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汽车检测与维修技术</w:t>
            </w:r>
          </w:p>
        </w:tc>
        <w:tc>
          <w:tcPr>
            <w:tcW w:w="709"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118</w:t>
            </w:r>
          </w:p>
        </w:tc>
        <w:tc>
          <w:tcPr>
            <w:tcW w:w="646"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111</w:t>
            </w:r>
          </w:p>
        </w:tc>
        <w:tc>
          <w:tcPr>
            <w:tcW w:w="642"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108</w:t>
            </w:r>
          </w:p>
        </w:tc>
        <w:tc>
          <w:tcPr>
            <w:tcW w:w="712"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3</w:t>
            </w:r>
          </w:p>
        </w:tc>
        <w:tc>
          <w:tcPr>
            <w:tcW w:w="686"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1</w:t>
            </w:r>
          </w:p>
        </w:tc>
        <w:tc>
          <w:tcPr>
            <w:tcW w:w="684"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1</w:t>
            </w:r>
          </w:p>
        </w:tc>
        <w:tc>
          <w:tcPr>
            <w:tcW w:w="682"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5</w:t>
            </w:r>
          </w:p>
        </w:tc>
        <w:tc>
          <w:tcPr>
            <w:tcW w:w="690"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　</w:t>
            </w:r>
          </w:p>
        </w:tc>
        <w:tc>
          <w:tcPr>
            <w:tcW w:w="935" w:type="dxa"/>
            <w:tcBorders>
              <w:top w:val="nil"/>
              <w:left w:val="nil"/>
              <w:bottom w:val="single" w:color="auto" w:sz="4" w:space="0"/>
              <w:right w:val="single" w:color="auto" w:sz="8" w:space="0"/>
            </w:tcBorders>
            <w:shd w:val="clear" w:color="000000" w:fill="9BBB59"/>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95.76%</w:t>
            </w:r>
          </w:p>
        </w:tc>
      </w:tr>
      <w:tr>
        <w:tblPrEx>
          <w:tblLayout w:type="fixed"/>
          <w:tblCellMar>
            <w:top w:w="0" w:type="dxa"/>
            <w:left w:w="108" w:type="dxa"/>
            <w:bottom w:w="0" w:type="dxa"/>
            <w:right w:w="108" w:type="dxa"/>
          </w:tblCellMar>
        </w:tblPrEx>
        <w:trPr>
          <w:trHeight w:val="360" w:hRule="exact"/>
        </w:trPr>
        <w:tc>
          <w:tcPr>
            <w:tcW w:w="547" w:type="dxa"/>
            <w:tcBorders>
              <w:top w:val="nil"/>
              <w:left w:val="single" w:color="auto" w:sz="8"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21</w:t>
            </w:r>
          </w:p>
        </w:tc>
        <w:tc>
          <w:tcPr>
            <w:tcW w:w="20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汽车制造与装配技术</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81</w:t>
            </w:r>
          </w:p>
        </w:tc>
        <w:tc>
          <w:tcPr>
            <w:tcW w:w="6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73</w:t>
            </w:r>
          </w:p>
        </w:tc>
        <w:tc>
          <w:tcPr>
            <w:tcW w:w="6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70</w:t>
            </w:r>
          </w:p>
        </w:tc>
        <w:tc>
          <w:tcPr>
            <w:tcW w:w="71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3</w:t>
            </w:r>
          </w:p>
        </w:tc>
        <w:tc>
          <w:tcPr>
            <w:tcW w:w="68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4</w:t>
            </w:r>
          </w:p>
        </w:tc>
        <w:tc>
          <w:tcPr>
            <w:tcW w:w="6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　</w:t>
            </w:r>
          </w:p>
        </w:tc>
        <w:tc>
          <w:tcPr>
            <w:tcW w:w="68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4</w:t>
            </w:r>
          </w:p>
        </w:tc>
        <w:tc>
          <w:tcPr>
            <w:tcW w:w="69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　</w:t>
            </w:r>
          </w:p>
        </w:tc>
        <w:tc>
          <w:tcPr>
            <w:tcW w:w="935" w:type="dxa"/>
            <w:tcBorders>
              <w:top w:val="nil"/>
              <w:left w:val="nil"/>
              <w:bottom w:val="single" w:color="auto" w:sz="4" w:space="0"/>
              <w:right w:val="single" w:color="auto" w:sz="8"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95.06%</w:t>
            </w:r>
          </w:p>
        </w:tc>
      </w:tr>
      <w:tr>
        <w:tblPrEx>
          <w:tblLayout w:type="fixed"/>
          <w:tblCellMar>
            <w:top w:w="0" w:type="dxa"/>
            <w:left w:w="108" w:type="dxa"/>
            <w:bottom w:w="0" w:type="dxa"/>
            <w:right w:w="108" w:type="dxa"/>
          </w:tblCellMar>
        </w:tblPrEx>
        <w:trPr>
          <w:trHeight w:val="360" w:hRule="exact"/>
        </w:trPr>
        <w:tc>
          <w:tcPr>
            <w:tcW w:w="547" w:type="dxa"/>
            <w:tcBorders>
              <w:top w:val="nil"/>
              <w:left w:val="single" w:color="auto" w:sz="8" w:space="0"/>
              <w:bottom w:val="single" w:color="auto" w:sz="4" w:space="0"/>
              <w:right w:val="single" w:color="auto" w:sz="4" w:space="0"/>
            </w:tcBorders>
            <w:shd w:val="clear" w:color="000000" w:fill="9BBB59"/>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22</w:t>
            </w:r>
          </w:p>
        </w:tc>
        <w:tc>
          <w:tcPr>
            <w:tcW w:w="2009"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生物技术及应用</w:t>
            </w:r>
          </w:p>
        </w:tc>
        <w:tc>
          <w:tcPr>
            <w:tcW w:w="709"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37</w:t>
            </w:r>
          </w:p>
        </w:tc>
        <w:tc>
          <w:tcPr>
            <w:tcW w:w="646"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36</w:t>
            </w:r>
          </w:p>
        </w:tc>
        <w:tc>
          <w:tcPr>
            <w:tcW w:w="642"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12</w:t>
            </w:r>
          </w:p>
        </w:tc>
        <w:tc>
          <w:tcPr>
            <w:tcW w:w="712"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24</w:t>
            </w:r>
          </w:p>
        </w:tc>
        <w:tc>
          <w:tcPr>
            <w:tcW w:w="686"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　</w:t>
            </w:r>
          </w:p>
        </w:tc>
        <w:tc>
          <w:tcPr>
            <w:tcW w:w="684"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　</w:t>
            </w:r>
          </w:p>
        </w:tc>
        <w:tc>
          <w:tcPr>
            <w:tcW w:w="682"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1</w:t>
            </w:r>
          </w:p>
        </w:tc>
        <w:tc>
          <w:tcPr>
            <w:tcW w:w="690"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　</w:t>
            </w:r>
          </w:p>
        </w:tc>
        <w:tc>
          <w:tcPr>
            <w:tcW w:w="935" w:type="dxa"/>
            <w:tcBorders>
              <w:top w:val="nil"/>
              <w:left w:val="nil"/>
              <w:bottom w:val="single" w:color="auto" w:sz="4" w:space="0"/>
              <w:right w:val="single" w:color="auto" w:sz="8" w:space="0"/>
            </w:tcBorders>
            <w:shd w:val="clear" w:color="000000" w:fill="9BBB59"/>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97.30%</w:t>
            </w:r>
          </w:p>
        </w:tc>
      </w:tr>
      <w:tr>
        <w:tblPrEx>
          <w:tblLayout w:type="fixed"/>
          <w:tblCellMar>
            <w:top w:w="0" w:type="dxa"/>
            <w:left w:w="108" w:type="dxa"/>
            <w:bottom w:w="0" w:type="dxa"/>
            <w:right w:w="108" w:type="dxa"/>
          </w:tblCellMar>
        </w:tblPrEx>
        <w:trPr>
          <w:trHeight w:val="360" w:hRule="exact"/>
        </w:trPr>
        <w:tc>
          <w:tcPr>
            <w:tcW w:w="547" w:type="dxa"/>
            <w:tcBorders>
              <w:top w:val="nil"/>
              <w:left w:val="single" w:color="auto" w:sz="8"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23</w:t>
            </w:r>
          </w:p>
        </w:tc>
        <w:tc>
          <w:tcPr>
            <w:tcW w:w="20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食品加工技术</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42</w:t>
            </w:r>
          </w:p>
        </w:tc>
        <w:tc>
          <w:tcPr>
            <w:tcW w:w="6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39</w:t>
            </w:r>
          </w:p>
        </w:tc>
        <w:tc>
          <w:tcPr>
            <w:tcW w:w="6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11</w:t>
            </w:r>
          </w:p>
        </w:tc>
        <w:tc>
          <w:tcPr>
            <w:tcW w:w="71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28</w:t>
            </w:r>
          </w:p>
        </w:tc>
        <w:tc>
          <w:tcPr>
            <w:tcW w:w="68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1</w:t>
            </w:r>
          </w:p>
        </w:tc>
        <w:tc>
          <w:tcPr>
            <w:tcW w:w="6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　</w:t>
            </w:r>
          </w:p>
        </w:tc>
        <w:tc>
          <w:tcPr>
            <w:tcW w:w="68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2</w:t>
            </w:r>
          </w:p>
        </w:tc>
        <w:tc>
          <w:tcPr>
            <w:tcW w:w="69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　</w:t>
            </w:r>
          </w:p>
        </w:tc>
        <w:tc>
          <w:tcPr>
            <w:tcW w:w="935" w:type="dxa"/>
            <w:tcBorders>
              <w:top w:val="nil"/>
              <w:left w:val="nil"/>
              <w:bottom w:val="single" w:color="auto" w:sz="4" w:space="0"/>
              <w:right w:val="single" w:color="auto" w:sz="8"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95.24%</w:t>
            </w:r>
          </w:p>
        </w:tc>
      </w:tr>
      <w:tr>
        <w:tblPrEx>
          <w:tblLayout w:type="fixed"/>
          <w:tblCellMar>
            <w:top w:w="0" w:type="dxa"/>
            <w:left w:w="108" w:type="dxa"/>
            <w:bottom w:w="0" w:type="dxa"/>
            <w:right w:w="108" w:type="dxa"/>
          </w:tblCellMar>
        </w:tblPrEx>
        <w:trPr>
          <w:trHeight w:val="360" w:hRule="exact"/>
        </w:trPr>
        <w:tc>
          <w:tcPr>
            <w:tcW w:w="547" w:type="dxa"/>
            <w:tcBorders>
              <w:top w:val="nil"/>
              <w:left w:val="single" w:color="auto" w:sz="8" w:space="0"/>
              <w:bottom w:val="single" w:color="auto" w:sz="4" w:space="0"/>
              <w:right w:val="single" w:color="auto" w:sz="4" w:space="0"/>
            </w:tcBorders>
            <w:shd w:val="clear" w:color="000000" w:fill="9BBB59"/>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24</w:t>
            </w:r>
          </w:p>
        </w:tc>
        <w:tc>
          <w:tcPr>
            <w:tcW w:w="2009"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食品生物技术</w:t>
            </w:r>
          </w:p>
        </w:tc>
        <w:tc>
          <w:tcPr>
            <w:tcW w:w="709"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43</w:t>
            </w:r>
          </w:p>
        </w:tc>
        <w:tc>
          <w:tcPr>
            <w:tcW w:w="646"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42</w:t>
            </w:r>
          </w:p>
        </w:tc>
        <w:tc>
          <w:tcPr>
            <w:tcW w:w="642"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11</w:t>
            </w:r>
          </w:p>
        </w:tc>
        <w:tc>
          <w:tcPr>
            <w:tcW w:w="712"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31</w:t>
            </w:r>
          </w:p>
        </w:tc>
        <w:tc>
          <w:tcPr>
            <w:tcW w:w="686"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　</w:t>
            </w:r>
          </w:p>
        </w:tc>
        <w:tc>
          <w:tcPr>
            <w:tcW w:w="684"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　</w:t>
            </w:r>
          </w:p>
        </w:tc>
        <w:tc>
          <w:tcPr>
            <w:tcW w:w="682"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1</w:t>
            </w:r>
          </w:p>
        </w:tc>
        <w:tc>
          <w:tcPr>
            <w:tcW w:w="690"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　</w:t>
            </w:r>
          </w:p>
        </w:tc>
        <w:tc>
          <w:tcPr>
            <w:tcW w:w="935" w:type="dxa"/>
            <w:tcBorders>
              <w:top w:val="nil"/>
              <w:left w:val="nil"/>
              <w:bottom w:val="single" w:color="auto" w:sz="4" w:space="0"/>
              <w:right w:val="single" w:color="auto" w:sz="8" w:space="0"/>
            </w:tcBorders>
            <w:shd w:val="clear" w:color="000000" w:fill="9BBB59"/>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97.67%</w:t>
            </w:r>
          </w:p>
        </w:tc>
      </w:tr>
      <w:tr>
        <w:tblPrEx>
          <w:tblLayout w:type="fixed"/>
          <w:tblCellMar>
            <w:top w:w="0" w:type="dxa"/>
            <w:left w:w="108" w:type="dxa"/>
            <w:bottom w:w="0" w:type="dxa"/>
            <w:right w:w="108" w:type="dxa"/>
          </w:tblCellMar>
        </w:tblPrEx>
        <w:trPr>
          <w:trHeight w:val="360" w:hRule="exact"/>
        </w:trPr>
        <w:tc>
          <w:tcPr>
            <w:tcW w:w="547" w:type="dxa"/>
            <w:tcBorders>
              <w:top w:val="nil"/>
              <w:left w:val="single" w:color="auto" w:sz="8"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25</w:t>
            </w:r>
          </w:p>
        </w:tc>
        <w:tc>
          <w:tcPr>
            <w:tcW w:w="20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食品营养与检测</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98</w:t>
            </w:r>
          </w:p>
        </w:tc>
        <w:tc>
          <w:tcPr>
            <w:tcW w:w="6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93</w:t>
            </w:r>
          </w:p>
        </w:tc>
        <w:tc>
          <w:tcPr>
            <w:tcW w:w="6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17</w:t>
            </w:r>
          </w:p>
        </w:tc>
        <w:tc>
          <w:tcPr>
            <w:tcW w:w="71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76</w:t>
            </w:r>
          </w:p>
        </w:tc>
        <w:tc>
          <w:tcPr>
            <w:tcW w:w="68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　</w:t>
            </w:r>
          </w:p>
        </w:tc>
        <w:tc>
          <w:tcPr>
            <w:tcW w:w="6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3</w:t>
            </w:r>
          </w:p>
        </w:tc>
        <w:tc>
          <w:tcPr>
            <w:tcW w:w="68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2</w:t>
            </w:r>
          </w:p>
        </w:tc>
        <w:tc>
          <w:tcPr>
            <w:tcW w:w="69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　</w:t>
            </w:r>
          </w:p>
        </w:tc>
        <w:tc>
          <w:tcPr>
            <w:tcW w:w="935" w:type="dxa"/>
            <w:tcBorders>
              <w:top w:val="nil"/>
              <w:left w:val="nil"/>
              <w:bottom w:val="single" w:color="auto" w:sz="4" w:space="0"/>
              <w:right w:val="single" w:color="auto" w:sz="8"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97.96%</w:t>
            </w:r>
          </w:p>
        </w:tc>
      </w:tr>
      <w:tr>
        <w:tblPrEx>
          <w:tblLayout w:type="fixed"/>
          <w:tblCellMar>
            <w:top w:w="0" w:type="dxa"/>
            <w:left w:w="108" w:type="dxa"/>
            <w:bottom w:w="0" w:type="dxa"/>
            <w:right w:w="108" w:type="dxa"/>
          </w:tblCellMar>
        </w:tblPrEx>
        <w:trPr>
          <w:trHeight w:val="360" w:hRule="exact"/>
        </w:trPr>
        <w:tc>
          <w:tcPr>
            <w:tcW w:w="547" w:type="dxa"/>
            <w:tcBorders>
              <w:top w:val="nil"/>
              <w:left w:val="single" w:color="auto" w:sz="8" w:space="0"/>
              <w:bottom w:val="single" w:color="auto" w:sz="4" w:space="0"/>
              <w:right w:val="single" w:color="auto" w:sz="4" w:space="0"/>
            </w:tcBorders>
            <w:shd w:val="clear" w:color="000000" w:fill="9BBB59"/>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26</w:t>
            </w:r>
          </w:p>
        </w:tc>
        <w:tc>
          <w:tcPr>
            <w:tcW w:w="2009"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兽药生产与营销</w:t>
            </w:r>
          </w:p>
        </w:tc>
        <w:tc>
          <w:tcPr>
            <w:tcW w:w="709"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36</w:t>
            </w:r>
          </w:p>
        </w:tc>
        <w:tc>
          <w:tcPr>
            <w:tcW w:w="646"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36</w:t>
            </w:r>
          </w:p>
        </w:tc>
        <w:tc>
          <w:tcPr>
            <w:tcW w:w="642"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10</w:t>
            </w:r>
          </w:p>
        </w:tc>
        <w:tc>
          <w:tcPr>
            <w:tcW w:w="712"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26</w:t>
            </w:r>
          </w:p>
        </w:tc>
        <w:tc>
          <w:tcPr>
            <w:tcW w:w="686"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　</w:t>
            </w:r>
          </w:p>
        </w:tc>
        <w:tc>
          <w:tcPr>
            <w:tcW w:w="684"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　</w:t>
            </w:r>
          </w:p>
        </w:tc>
        <w:tc>
          <w:tcPr>
            <w:tcW w:w="682"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0</w:t>
            </w:r>
          </w:p>
        </w:tc>
        <w:tc>
          <w:tcPr>
            <w:tcW w:w="690"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　</w:t>
            </w:r>
          </w:p>
        </w:tc>
        <w:tc>
          <w:tcPr>
            <w:tcW w:w="935" w:type="dxa"/>
            <w:tcBorders>
              <w:top w:val="nil"/>
              <w:left w:val="nil"/>
              <w:bottom w:val="single" w:color="auto" w:sz="4" w:space="0"/>
              <w:right w:val="single" w:color="auto" w:sz="8" w:space="0"/>
            </w:tcBorders>
            <w:shd w:val="clear" w:color="000000" w:fill="9BBB59"/>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100.00%</w:t>
            </w:r>
          </w:p>
        </w:tc>
      </w:tr>
      <w:tr>
        <w:tblPrEx>
          <w:tblLayout w:type="fixed"/>
          <w:tblCellMar>
            <w:top w:w="0" w:type="dxa"/>
            <w:left w:w="108" w:type="dxa"/>
            <w:bottom w:w="0" w:type="dxa"/>
            <w:right w:w="108" w:type="dxa"/>
          </w:tblCellMar>
        </w:tblPrEx>
        <w:trPr>
          <w:trHeight w:val="360" w:hRule="exact"/>
        </w:trPr>
        <w:tc>
          <w:tcPr>
            <w:tcW w:w="547" w:type="dxa"/>
            <w:tcBorders>
              <w:top w:val="nil"/>
              <w:left w:val="single" w:color="auto" w:sz="8"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27</w:t>
            </w:r>
          </w:p>
        </w:tc>
        <w:tc>
          <w:tcPr>
            <w:tcW w:w="20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兽医</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78</w:t>
            </w:r>
          </w:p>
        </w:tc>
        <w:tc>
          <w:tcPr>
            <w:tcW w:w="6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74</w:t>
            </w:r>
          </w:p>
        </w:tc>
        <w:tc>
          <w:tcPr>
            <w:tcW w:w="6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51</w:t>
            </w:r>
          </w:p>
        </w:tc>
        <w:tc>
          <w:tcPr>
            <w:tcW w:w="71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23</w:t>
            </w:r>
          </w:p>
        </w:tc>
        <w:tc>
          <w:tcPr>
            <w:tcW w:w="68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　</w:t>
            </w:r>
          </w:p>
        </w:tc>
        <w:tc>
          <w:tcPr>
            <w:tcW w:w="6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　</w:t>
            </w:r>
          </w:p>
        </w:tc>
        <w:tc>
          <w:tcPr>
            <w:tcW w:w="68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4</w:t>
            </w:r>
          </w:p>
        </w:tc>
        <w:tc>
          <w:tcPr>
            <w:tcW w:w="69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4</w:t>
            </w:r>
          </w:p>
        </w:tc>
        <w:tc>
          <w:tcPr>
            <w:tcW w:w="935" w:type="dxa"/>
            <w:tcBorders>
              <w:top w:val="nil"/>
              <w:left w:val="nil"/>
              <w:bottom w:val="single" w:color="auto" w:sz="4" w:space="0"/>
              <w:right w:val="single" w:color="auto" w:sz="8"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94.87%</w:t>
            </w:r>
          </w:p>
        </w:tc>
      </w:tr>
      <w:tr>
        <w:tblPrEx>
          <w:tblLayout w:type="fixed"/>
          <w:tblCellMar>
            <w:top w:w="0" w:type="dxa"/>
            <w:left w:w="108" w:type="dxa"/>
            <w:bottom w:w="0" w:type="dxa"/>
            <w:right w:w="108" w:type="dxa"/>
          </w:tblCellMar>
        </w:tblPrEx>
        <w:trPr>
          <w:trHeight w:val="360" w:hRule="exact"/>
        </w:trPr>
        <w:tc>
          <w:tcPr>
            <w:tcW w:w="547" w:type="dxa"/>
            <w:tcBorders>
              <w:top w:val="nil"/>
              <w:left w:val="single" w:color="auto" w:sz="8" w:space="0"/>
              <w:bottom w:val="single" w:color="auto" w:sz="4" w:space="0"/>
              <w:right w:val="single" w:color="auto" w:sz="4" w:space="0"/>
            </w:tcBorders>
            <w:shd w:val="clear" w:color="000000" w:fill="9BBB59"/>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28</w:t>
            </w:r>
          </w:p>
        </w:tc>
        <w:tc>
          <w:tcPr>
            <w:tcW w:w="2009"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数控技术</w:t>
            </w:r>
          </w:p>
        </w:tc>
        <w:tc>
          <w:tcPr>
            <w:tcW w:w="709"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36</w:t>
            </w:r>
          </w:p>
        </w:tc>
        <w:tc>
          <w:tcPr>
            <w:tcW w:w="646"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36</w:t>
            </w:r>
          </w:p>
        </w:tc>
        <w:tc>
          <w:tcPr>
            <w:tcW w:w="642"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23</w:t>
            </w:r>
          </w:p>
        </w:tc>
        <w:tc>
          <w:tcPr>
            <w:tcW w:w="712"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13</w:t>
            </w:r>
          </w:p>
        </w:tc>
        <w:tc>
          <w:tcPr>
            <w:tcW w:w="686"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　</w:t>
            </w:r>
          </w:p>
        </w:tc>
        <w:tc>
          <w:tcPr>
            <w:tcW w:w="684"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　</w:t>
            </w:r>
          </w:p>
        </w:tc>
        <w:tc>
          <w:tcPr>
            <w:tcW w:w="682"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0</w:t>
            </w:r>
          </w:p>
        </w:tc>
        <w:tc>
          <w:tcPr>
            <w:tcW w:w="690"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p>
        </w:tc>
        <w:tc>
          <w:tcPr>
            <w:tcW w:w="935" w:type="dxa"/>
            <w:tcBorders>
              <w:top w:val="nil"/>
              <w:left w:val="nil"/>
              <w:bottom w:val="single" w:color="auto" w:sz="4" w:space="0"/>
              <w:right w:val="single" w:color="auto" w:sz="8" w:space="0"/>
            </w:tcBorders>
            <w:shd w:val="clear" w:color="000000" w:fill="9BBB59"/>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100.00%</w:t>
            </w:r>
          </w:p>
        </w:tc>
      </w:tr>
      <w:tr>
        <w:tblPrEx>
          <w:tblLayout w:type="fixed"/>
          <w:tblCellMar>
            <w:top w:w="0" w:type="dxa"/>
            <w:left w:w="108" w:type="dxa"/>
            <w:bottom w:w="0" w:type="dxa"/>
            <w:right w:w="108" w:type="dxa"/>
          </w:tblCellMar>
        </w:tblPrEx>
        <w:trPr>
          <w:trHeight w:val="360" w:hRule="exact"/>
        </w:trPr>
        <w:tc>
          <w:tcPr>
            <w:tcW w:w="547" w:type="dxa"/>
            <w:tcBorders>
              <w:top w:val="nil"/>
              <w:left w:val="single" w:color="auto" w:sz="8"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29</w:t>
            </w:r>
          </w:p>
        </w:tc>
        <w:tc>
          <w:tcPr>
            <w:tcW w:w="20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畜牧</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168</w:t>
            </w:r>
          </w:p>
        </w:tc>
        <w:tc>
          <w:tcPr>
            <w:tcW w:w="6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160</w:t>
            </w:r>
          </w:p>
        </w:tc>
        <w:tc>
          <w:tcPr>
            <w:tcW w:w="6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96</w:t>
            </w:r>
          </w:p>
        </w:tc>
        <w:tc>
          <w:tcPr>
            <w:tcW w:w="71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64</w:t>
            </w:r>
          </w:p>
        </w:tc>
        <w:tc>
          <w:tcPr>
            <w:tcW w:w="68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2</w:t>
            </w:r>
          </w:p>
        </w:tc>
        <w:tc>
          <w:tcPr>
            <w:tcW w:w="6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　</w:t>
            </w:r>
          </w:p>
        </w:tc>
        <w:tc>
          <w:tcPr>
            <w:tcW w:w="68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6</w:t>
            </w:r>
          </w:p>
        </w:tc>
        <w:tc>
          <w:tcPr>
            <w:tcW w:w="69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p>
        </w:tc>
        <w:tc>
          <w:tcPr>
            <w:tcW w:w="935" w:type="dxa"/>
            <w:tcBorders>
              <w:top w:val="nil"/>
              <w:left w:val="nil"/>
              <w:bottom w:val="single" w:color="auto" w:sz="4" w:space="0"/>
              <w:right w:val="single" w:color="auto" w:sz="8"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96.43%</w:t>
            </w:r>
          </w:p>
        </w:tc>
      </w:tr>
      <w:tr>
        <w:tblPrEx>
          <w:tblLayout w:type="fixed"/>
          <w:tblCellMar>
            <w:top w:w="0" w:type="dxa"/>
            <w:left w:w="108" w:type="dxa"/>
            <w:bottom w:w="0" w:type="dxa"/>
            <w:right w:w="108" w:type="dxa"/>
          </w:tblCellMar>
        </w:tblPrEx>
        <w:trPr>
          <w:trHeight w:val="360" w:hRule="exact"/>
        </w:trPr>
        <w:tc>
          <w:tcPr>
            <w:tcW w:w="547" w:type="dxa"/>
            <w:tcBorders>
              <w:top w:val="nil"/>
              <w:left w:val="single" w:color="auto" w:sz="8" w:space="0"/>
              <w:bottom w:val="single" w:color="auto" w:sz="4" w:space="0"/>
              <w:right w:val="single" w:color="auto" w:sz="4" w:space="0"/>
            </w:tcBorders>
            <w:shd w:val="clear" w:color="000000" w:fill="9BBB59"/>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30</w:t>
            </w:r>
          </w:p>
        </w:tc>
        <w:tc>
          <w:tcPr>
            <w:tcW w:w="2009"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畜牧兽医</w:t>
            </w:r>
          </w:p>
        </w:tc>
        <w:tc>
          <w:tcPr>
            <w:tcW w:w="709"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268</w:t>
            </w:r>
          </w:p>
        </w:tc>
        <w:tc>
          <w:tcPr>
            <w:tcW w:w="646"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249</w:t>
            </w:r>
          </w:p>
        </w:tc>
        <w:tc>
          <w:tcPr>
            <w:tcW w:w="642"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160</w:t>
            </w:r>
          </w:p>
        </w:tc>
        <w:tc>
          <w:tcPr>
            <w:tcW w:w="712"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89</w:t>
            </w:r>
          </w:p>
        </w:tc>
        <w:tc>
          <w:tcPr>
            <w:tcW w:w="686"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3</w:t>
            </w:r>
          </w:p>
        </w:tc>
        <w:tc>
          <w:tcPr>
            <w:tcW w:w="684"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　</w:t>
            </w:r>
          </w:p>
        </w:tc>
        <w:tc>
          <w:tcPr>
            <w:tcW w:w="682"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16</w:t>
            </w:r>
          </w:p>
        </w:tc>
        <w:tc>
          <w:tcPr>
            <w:tcW w:w="690"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p>
        </w:tc>
        <w:tc>
          <w:tcPr>
            <w:tcW w:w="935" w:type="dxa"/>
            <w:tcBorders>
              <w:top w:val="nil"/>
              <w:left w:val="nil"/>
              <w:bottom w:val="single" w:color="auto" w:sz="4" w:space="0"/>
              <w:right w:val="single" w:color="auto" w:sz="8" w:space="0"/>
            </w:tcBorders>
            <w:shd w:val="clear" w:color="000000" w:fill="9BBB59"/>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94.03%</w:t>
            </w:r>
          </w:p>
        </w:tc>
      </w:tr>
      <w:tr>
        <w:tblPrEx>
          <w:tblLayout w:type="fixed"/>
          <w:tblCellMar>
            <w:top w:w="0" w:type="dxa"/>
            <w:left w:w="108" w:type="dxa"/>
            <w:bottom w:w="0" w:type="dxa"/>
            <w:right w:w="108" w:type="dxa"/>
          </w:tblCellMar>
        </w:tblPrEx>
        <w:trPr>
          <w:trHeight w:val="360" w:hRule="exact"/>
        </w:trPr>
        <w:tc>
          <w:tcPr>
            <w:tcW w:w="547" w:type="dxa"/>
            <w:tcBorders>
              <w:top w:val="nil"/>
              <w:left w:val="single" w:color="auto" w:sz="8"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31</w:t>
            </w:r>
          </w:p>
        </w:tc>
        <w:tc>
          <w:tcPr>
            <w:tcW w:w="20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畜牧兽医(兽医)</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152</w:t>
            </w:r>
          </w:p>
        </w:tc>
        <w:tc>
          <w:tcPr>
            <w:tcW w:w="6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145</w:t>
            </w:r>
          </w:p>
        </w:tc>
        <w:tc>
          <w:tcPr>
            <w:tcW w:w="6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94</w:t>
            </w:r>
          </w:p>
        </w:tc>
        <w:tc>
          <w:tcPr>
            <w:tcW w:w="71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51</w:t>
            </w:r>
          </w:p>
        </w:tc>
        <w:tc>
          <w:tcPr>
            <w:tcW w:w="68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1</w:t>
            </w:r>
          </w:p>
        </w:tc>
        <w:tc>
          <w:tcPr>
            <w:tcW w:w="6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　</w:t>
            </w:r>
          </w:p>
        </w:tc>
        <w:tc>
          <w:tcPr>
            <w:tcW w:w="68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6</w:t>
            </w:r>
          </w:p>
        </w:tc>
        <w:tc>
          <w:tcPr>
            <w:tcW w:w="69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p>
        </w:tc>
        <w:tc>
          <w:tcPr>
            <w:tcW w:w="935" w:type="dxa"/>
            <w:tcBorders>
              <w:top w:val="nil"/>
              <w:left w:val="nil"/>
              <w:bottom w:val="single" w:color="auto" w:sz="4" w:space="0"/>
              <w:right w:val="single" w:color="auto" w:sz="8"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96.05%</w:t>
            </w:r>
          </w:p>
        </w:tc>
      </w:tr>
      <w:tr>
        <w:tblPrEx>
          <w:tblLayout w:type="fixed"/>
          <w:tblCellMar>
            <w:top w:w="0" w:type="dxa"/>
            <w:left w:w="108" w:type="dxa"/>
            <w:bottom w:w="0" w:type="dxa"/>
            <w:right w:w="108" w:type="dxa"/>
          </w:tblCellMar>
        </w:tblPrEx>
        <w:trPr>
          <w:trHeight w:val="360" w:hRule="exact"/>
        </w:trPr>
        <w:tc>
          <w:tcPr>
            <w:tcW w:w="547" w:type="dxa"/>
            <w:tcBorders>
              <w:top w:val="nil"/>
              <w:left w:val="single" w:color="auto" w:sz="8" w:space="0"/>
              <w:bottom w:val="single" w:color="auto" w:sz="4" w:space="0"/>
              <w:right w:val="single" w:color="auto" w:sz="4" w:space="0"/>
            </w:tcBorders>
            <w:shd w:val="clear" w:color="000000" w:fill="9BBB59"/>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32</w:t>
            </w:r>
          </w:p>
        </w:tc>
        <w:tc>
          <w:tcPr>
            <w:tcW w:w="2009"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畜牧兽医(畜牧)</w:t>
            </w:r>
          </w:p>
        </w:tc>
        <w:tc>
          <w:tcPr>
            <w:tcW w:w="709"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186</w:t>
            </w:r>
          </w:p>
        </w:tc>
        <w:tc>
          <w:tcPr>
            <w:tcW w:w="646"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176</w:t>
            </w:r>
          </w:p>
        </w:tc>
        <w:tc>
          <w:tcPr>
            <w:tcW w:w="642"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145</w:t>
            </w:r>
          </w:p>
        </w:tc>
        <w:tc>
          <w:tcPr>
            <w:tcW w:w="712"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31</w:t>
            </w:r>
          </w:p>
        </w:tc>
        <w:tc>
          <w:tcPr>
            <w:tcW w:w="686"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4</w:t>
            </w:r>
          </w:p>
        </w:tc>
        <w:tc>
          <w:tcPr>
            <w:tcW w:w="684"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　</w:t>
            </w:r>
          </w:p>
        </w:tc>
        <w:tc>
          <w:tcPr>
            <w:tcW w:w="682"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6</w:t>
            </w:r>
          </w:p>
        </w:tc>
        <w:tc>
          <w:tcPr>
            <w:tcW w:w="690" w:type="dxa"/>
            <w:tcBorders>
              <w:top w:val="nil"/>
              <w:left w:val="nil"/>
              <w:bottom w:val="single" w:color="auto" w:sz="4" w:space="0"/>
              <w:right w:val="single" w:color="auto" w:sz="4" w:space="0"/>
            </w:tcBorders>
            <w:shd w:val="clear" w:color="000000" w:fill="9BBB59"/>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4</w:t>
            </w:r>
          </w:p>
        </w:tc>
        <w:tc>
          <w:tcPr>
            <w:tcW w:w="935" w:type="dxa"/>
            <w:tcBorders>
              <w:top w:val="nil"/>
              <w:left w:val="nil"/>
              <w:bottom w:val="single" w:color="auto" w:sz="4" w:space="0"/>
              <w:right w:val="single" w:color="auto" w:sz="8" w:space="0"/>
            </w:tcBorders>
            <w:shd w:val="clear" w:color="000000" w:fill="9BBB59"/>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96.77%</w:t>
            </w:r>
          </w:p>
        </w:tc>
      </w:tr>
      <w:tr>
        <w:tblPrEx>
          <w:tblLayout w:type="fixed"/>
          <w:tblCellMar>
            <w:top w:w="0" w:type="dxa"/>
            <w:left w:w="108" w:type="dxa"/>
            <w:bottom w:w="0" w:type="dxa"/>
            <w:right w:w="108" w:type="dxa"/>
          </w:tblCellMar>
        </w:tblPrEx>
        <w:trPr>
          <w:trHeight w:val="360" w:hRule="exact"/>
        </w:trPr>
        <w:tc>
          <w:tcPr>
            <w:tcW w:w="547" w:type="dxa"/>
            <w:tcBorders>
              <w:top w:val="nil"/>
              <w:left w:val="single" w:color="auto" w:sz="8" w:space="0"/>
              <w:bottom w:val="single" w:color="auto" w:sz="8"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33</w:t>
            </w:r>
          </w:p>
        </w:tc>
        <w:tc>
          <w:tcPr>
            <w:tcW w:w="2009" w:type="dxa"/>
            <w:tcBorders>
              <w:top w:val="nil"/>
              <w:left w:val="nil"/>
              <w:bottom w:val="single" w:color="auto" w:sz="8"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园艺技术</w:t>
            </w:r>
          </w:p>
        </w:tc>
        <w:tc>
          <w:tcPr>
            <w:tcW w:w="709" w:type="dxa"/>
            <w:tcBorders>
              <w:top w:val="nil"/>
              <w:left w:val="nil"/>
              <w:bottom w:val="single" w:color="auto" w:sz="8"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32</w:t>
            </w:r>
          </w:p>
        </w:tc>
        <w:tc>
          <w:tcPr>
            <w:tcW w:w="646" w:type="dxa"/>
            <w:tcBorders>
              <w:top w:val="nil"/>
              <w:left w:val="nil"/>
              <w:bottom w:val="single" w:color="auto" w:sz="8"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31</w:t>
            </w:r>
          </w:p>
        </w:tc>
        <w:tc>
          <w:tcPr>
            <w:tcW w:w="642" w:type="dxa"/>
            <w:tcBorders>
              <w:top w:val="nil"/>
              <w:left w:val="nil"/>
              <w:bottom w:val="single" w:color="auto" w:sz="8"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15</w:t>
            </w:r>
          </w:p>
        </w:tc>
        <w:tc>
          <w:tcPr>
            <w:tcW w:w="712" w:type="dxa"/>
            <w:tcBorders>
              <w:top w:val="nil"/>
              <w:left w:val="nil"/>
              <w:bottom w:val="single" w:color="auto" w:sz="8"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16</w:t>
            </w:r>
          </w:p>
        </w:tc>
        <w:tc>
          <w:tcPr>
            <w:tcW w:w="686" w:type="dxa"/>
            <w:tcBorders>
              <w:top w:val="nil"/>
              <w:left w:val="nil"/>
              <w:bottom w:val="single" w:color="auto" w:sz="8"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　</w:t>
            </w:r>
          </w:p>
        </w:tc>
        <w:tc>
          <w:tcPr>
            <w:tcW w:w="684" w:type="dxa"/>
            <w:tcBorders>
              <w:top w:val="nil"/>
              <w:left w:val="nil"/>
              <w:bottom w:val="single" w:color="auto" w:sz="8"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1</w:t>
            </w:r>
          </w:p>
        </w:tc>
        <w:tc>
          <w:tcPr>
            <w:tcW w:w="682" w:type="dxa"/>
            <w:tcBorders>
              <w:top w:val="nil"/>
              <w:left w:val="nil"/>
              <w:bottom w:val="single" w:color="auto" w:sz="8"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0</w:t>
            </w:r>
          </w:p>
        </w:tc>
        <w:tc>
          <w:tcPr>
            <w:tcW w:w="690" w:type="dxa"/>
            <w:tcBorders>
              <w:top w:val="nil"/>
              <w:left w:val="nil"/>
              <w:bottom w:val="single" w:color="auto" w:sz="8" w:space="0"/>
              <w:right w:val="single" w:color="auto" w:sz="4" w:space="0"/>
            </w:tcBorders>
            <w:shd w:val="clear" w:color="auto" w:fill="auto"/>
            <w:vAlign w:val="center"/>
          </w:tcPr>
          <w:p>
            <w:pPr>
              <w:widowControl/>
              <w:jc w:val="center"/>
              <w:rPr>
                <w:rFonts w:ascii="宋体" w:hAnsi="宋体" w:cs="宋体"/>
                <w:b/>
                <w:bCs/>
                <w:kern w:val="0"/>
                <w:sz w:val="18"/>
                <w:szCs w:val="18"/>
              </w:rPr>
            </w:pPr>
          </w:p>
        </w:tc>
        <w:tc>
          <w:tcPr>
            <w:tcW w:w="935"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100.00%</w:t>
            </w:r>
          </w:p>
        </w:tc>
      </w:tr>
      <w:tr>
        <w:tblPrEx>
          <w:tblLayout w:type="fixed"/>
          <w:tblCellMar>
            <w:top w:w="0" w:type="dxa"/>
            <w:left w:w="108" w:type="dxa"/>
            <w:bottom w:w="0" w:type="dxa"/>
            <w:right w:w="108" w:type="dxa"/>
          </w:tblCellMar>
        </w:tblPrEx>
        <w:trPr>
          <w:trHeight w:val="600" w:hRule="exact"/>
        </w:trPr>
        <w:tc>
          <w:tcPr>
            <w:tcW w:w="2556" w:type="dxa"/>
            <w:gridSpan w:val="2"/>
            <w:tcBorders>
              <w:top w:val="single" w:color="auto" w:sz="8" w:space="0"/>
              <w:left w:val="single" w:color="auto" w:sz="8" w:space="0"/>
              <w:bottom w:val="single" w:color="auto" w:sz="8"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总计</w:t>
            </w:r>
          </w:p>
        </w:tc>
        <w:tc>
          <w:tcPr>
            <w:tcW w:w="709" w:type="dxa"/>
            <w:tcBorders>
              <w:top w:val="single" w:color="auto" w:sz="8" w:space="0"/>
              <w:left w:val="nil"/>
              <w:bottom w:val="single" w:color="auto" w:sz="8"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2591</w:t>
            </w:r>
          </w:p>
        </w:tc>
        <w:tc>
          <w:tcPr>
            <w:tcW w:w="646" w:type="dxa"/>
            <w:tcBorders>
              <w:top w:val="single" w:color="auto" w:sz="8" w:space="0"/>
              <w:left w:val="nil"/>
              <w:bottom w:val="single" w:color="auto" w:sz="8"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2435</w:t>
            </w:r>
          </w:p>
        </w:tc>
        <w:tc>
          <w:tcPr>
            <w:tcW w:w="642" w:type="dxa"/>
            <w:tcBorders>
              <w:top w:val="single" w:color="auto" w:sz="8" w:space="0"/>
              <w:left w:val="nil"/>
              <w:bottom w:val="single" w:color="auto" w:sz="8"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1176</w:t>
            </w:r>
          </w:p>
        </w:tc>
        <w:tc>
          <w:tcPr>
            <w:tcW w:w="712" w:type="dxa"/>
            <w:tcBorders>
              <w:top w:val="single" w:color="auto" w:sz="8" w:space="0"/>
              <w:left w:val="nil"/>
              <w:bottom w:val="single" w:color="auto" w:sz="8"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1259</w:t>
            </w:r>
          </w:p>
        </w:tc>
        <w:tc>
          <w:tcPr>
            <w:tcW w:w="686" w:type="dxa"/>
            <w:tcBorders>
              <w:top w:val="single" w:color="auto" w:sz="8" w:space="0"/>
              <w:left w:val="nil"/>
              <w:bottom w:val="single" w:color="auto" w:sz="8"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37</w:t>
            </w:r>
          </w:p>
        </w:tc>
        <w:tc>
          <w:tcPr>
            <w:tcW w:w="684" w:type="dxa"/>
            <w:tcBorders>
              <w:top w:val="single" w:color="auto" w:sz="8" w:space="0"/>
              <w:left w:val="nil"/>
              <w:bottom w:val="single" w:color="auto" w:sz="8"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17</w:t>
            </w:r>
          </w:p>
        </w:tc>
        <w:tc>
          <w:tcPr>
            <w:tcW w:w="682" w:type="dxa"/>
            <w:tcBorders>
              <w:top w:val="single" w:color="auto" w:sz="8" w:space="0"/>
              <w:left w:val="nil"/>
              <w:bottom w:val="single" w:color="auto" w:sz="8"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102</w:t>
            </w:r>
          </w:p>
        </w:tc>
        <w:tc>
          <w:tcPr>
            <w:tcW w:w="690" w:type="dxa"/>
            <w:tcBorders>
              <w:top w:val="single" w:color="auto" w:sz="8" w:space="0"/>
              <w:left w:val="nil"/>
              <w:bottom w:val="single" w:color="auto" w:sz="8" w:space="0"/>
              <w:right w:val="single" w:color="auto" w:sz="4" w:space="0"/>
            </w:tcBorders>
            <w:shd w:val="clear" w:color="auto" w:fill="auto"/>
            <w:vAlign w:val="center"/>
          </w:tcPr>
          <w:p>
            <w:pPr>
              <w:widowControl/>
              <w:jc w:val="center"/>
              <w:rPr>
                <w:rFonts w:ascii="宋体" w:hAnsi="宋体" w:cs="宋体"/>
                <w:b/>
                <w:bCs/>
                <w:kern w:val="0"/>
                <w:sz w:val="18"/>
                <w:szCs w:val="18"/>
              </w:rPr>
            </w:pPr>
          </w:p>
        </w:tc>
        <w:tc>
          <w:tcPr>
            <w:tcW w:w="935"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96.06%</w:t>
            </w:r>
          </w:p>
        </w:tc>
      </w:tr>
    </w:tbl>
    <w:p>
      <w:pPr>
        <w:spacing w:line="480" w:lineRule="exact"/>
        <w:ind w:firstLine="480" w:firstLineChars="200"/>
        <w:rPr>
          <w:rFonts w:ascii="宋体" w:hAnsi="宋体"/>
          <w:sz w:val="24"/>
        </w:rPr>
      </w:pPr>
      <w:r>
        <w:rPr>
          <w:rFonts w:hint="eastAsia" w:ascii="宋体" w:hAnsi="宋体"/>
          <w:sz w:val="24"/>
        </w:rPr>
        <w:t>学院2018届</w:t>
      </w:r>
      <w:r>
        <w:rPr>
          <w:rFonts w:ascii="宋体" w:hAnsi="宋体"/>
          <w:sz w:val="24"/>
        </w:rPr>
        <w:t>毕业生分布在</w:t>
      </w:r>
      <w:r>
        <w:rPr>
          <w:rFonts w:hint="eastAsia" w:ascii="宋体" w:hAnsi="宋体"/>
          <w:sz w:val="24"/>
        </w:rPr>
        <w:t>33个</w:t>
      </w:r>
      <w:r>
        <w:rPr>
          <w:rFonts w:ascii="宋体" w:hAnsi="宋体"/>
          <w:sz w:val="24"/>
        </w:rPr>
        <w:t>专业中，</w:t>
      </w:r>
      <w:r>
        <w:rPr>
          <w:rFonts w:hint="eastAsia" w:ascii="宋体" w:hAnsi="宋体"/>
          <w:sz w:val="24"/>
        </w:rPr>
        <w:t>除焊接技术及自动化和汽车电子技术外</w:t>
      </w:r>
      <w:r>
        <w:rPr>
          <w:rFonts w:ascii="宋体" w:hAnsi="宋体"/>
          <w:sz w:val="24"/>
        </w:rPr>
        <w:t>，</w:t>
      </w:r>
      <w:r>
        <w:rPr>
          <w:rFonts w:hint="eastAsia" w:ascii="宋体" w:hAnsi="宋体"/>
          <w:sz w:val="24"/>
        </w:rPr>
        <w:t>其余</w:t>
      </w:r>
      <w:r>
        <w:rPr>
          <w:rFonts w:ascii="宋体" w:hAnsi="宋体"/>
          <w:sz w:val="24"/>
        </w:rPr>
        <w:t>各专业</w:t>
      </w:r>
      <w:r>
        <w:rPr>
          <w:rFonts w:hint="eastAsia" w:ascii="宋体" w:hAnsi="宋体"/>
          <w:sz w:val="24"/>
        </w:rPr>
        <w:t>就业率</w:t>
      </w:r>
      <w:r>
        <w:rPr>
          <w:rFonts w:ascii="宋体" w:hAnsi="宋体"/>
          <w:sz w:val="24"/>
        </w:rPr>
        <w:t>达</w:t>
      </w:r>
      <w:r>
        <w:rPr>
          <w:rFonts w:hint="eastAsia" w:ascii="宋体" w:hAnsi="宋体"/>
          <w:sz w:val="24"/>
        </w:rPr>
        <w:t>90</w:t>
      </w:r>
      <w:r>
        <w:rPr>
          <w:rFonts w:ascii="宋体" w:hAnsi="宋体"/>
          <w:sz w:val="24"/>
        </w:rPr>
        <w:t>%以上</w:t>
      </w:r>
      <w:r>
        <w:rPr>
          <w:rFonts w:hint="eastAsia" w:ascii="宋体" w:hAnsi="宋体"/>
          <w:sz w:val="24"/>
        </w:rPr>
        <w:t>。</w:t>
      </w:r>
      <w:r>
        <w:rPr>
          <w:rFonts w:ascii="宋体" w:hAnsi="宋体"/>
          <w:sz w:val="24"/>
        </w:rPr>
        <w:t>其中</w:t>
      </w:r>
      <w:r>
        <w:rPr>
          <w:rFonts w:hint="eastAsia" w:ascii="宋体" w:hAnsi="宋体"/>
          <w:sz w:val="24"/>
        </w:rPr>
        <w:t>，工程机械运用与维护、兽药生产与营销、数控技术、园艺技术4个专业就业率</w:t>
      </w:r>
      <w:r>
        <w:rPr>
          <w:rFonts w:ascii="宋体" w:hAnsi="宋体"/>
          <w:sz w:val="24"/>
        </w:rPr>
        <w:t>达</w:t>
      </w:r>
      <w:r>
        <w:rPr>
          <w:rFonts w:hint="eastAsia" w:ascii="宋体" w:hAnsi="宋体"/>
          <w:sz w:val="24"/>
        </w:rPr>
        <w:t>100</w:t>
      </w:r>
      <w:r>
        <w:rPr>
          <w:rFonts w:ascii="宋体" w:hAnsi="宋体"/>
          <w:sz w:val="24"/>
        </w:rPr>
        <w:t>%</w:t>
      </w:r>
      <w:r>
        <w:rPr>
          <w:rFonts w:hint="eastAsia" w:ascii="宋体" w:hAnsi="宋体"/>
          <w:sz w:val="24"/>
        </w:rPr>
        <w:t>。汽车电子技术就业率</w:t>
      </w:r>
      <w:r>
        <w:rPr>
          <w:rFonts w:ascii="宋体" w:hAnsi="宋体"/>
          <w:sz w:val="24"/>
        </w:rPr>
        <w:t>达</w:t>
      </w:r>
      <w:r>
        <w:rPr>
          <w:rFonts w:hint="eastAsia" w:ascii="宋体" w:hAnsi="宋体"/>
          <w:sz w:val="24"/>
        </w:rPr>
        <w:t>为</w:t>
      </w:r>
      <w:r>
        <w:rPr>
          <w:rFonts w:ascii="宋体" w:hAnsi="宋体"/>
          <w:sz w:val="24"/>
        </w:rPr>
        <w:t>87.10%</w:t>
      </w:r>
      <w:r>
        <w:rPr>
          <w:rFonts w:hint="eastAsia" w:ascii="宋体" w:hAnsi="宋体"/>
          <w:sz w:val="24"/>
        </w:rPr>
        <w:t>，为</w:t>
      </w:r>
      <w:r>
        <w:rPr>
          <w:rFonts w:ascii="宋体" w:hAnsi="宋体"/>
          <w:sz w:val="24"/>
        </w:rPr>
        <w:t>各专业就业率最低</w:t>
      </w:r>
      <w:r>
        <w:rPr>
          <w:rFonts w:hint="eastAsia" w:ascii="宋体" w:hAnsi="宋体"/>
          <w:sz w:val="24"/>
        </w:rPr>
        <w:t>，</w:t>
      </w:r>
      <w:r>
        <w:rPr>
          <w:rFonts w:ascii="宋体" w:hAnsi="宋体"/>
          <w:sz w:val="24"/>
        </w:rPr>
        <w:t>详</w:t>
      </w:r>
      <w:r>
        <w:rPr>
          <w:rFonts w:hint="eastAsia" w:ascii="宋体" w:hAnsi="宋体"/>
          <w:sz w:val="24"/>
        </w:rPr>
        <w:t>见表1</w:t>
      </w:r>
      <w:r>
        <w:rPr>
          <w:rFonts w:ascii="宋体" w:hAnsi="宋体"/>
          <w:sz w:val="24"/>
        </w:rPr>
        <w:t>-4。</w:t>
      </w:r>
    </w:p>
    <w:p>
      <w:pPr>
        <w:spacing w:line="480" w:lineRule="exact"/>
        <w:ind w:firstLine="480" w:firstLineChars="200"/>
        <w:rPr>
          <w:rFonts w:ascii="宋体" w:hAnsi="宋体"/>
          <w:sz w:val="24"/>
        </w:rPr>
      </w:pPr>
      <w:r>
        <w:rPr>
          <w:rFonts w:hint="eastAsia" w:ascii="宋体" w:hAnsi="宋体"/>
          <w:sz w:val="24"/>
          <w:szCs w:val="24"/>
        </w:rPr>
        <w:t>学院</w:t>
      </w:r>
      <w:r>
        <w:rPr>
          <w:rFonts w:ascii="宋体" w:hAnsi="宋体"/>
          <w:sz w:val="24"/>
          <w:szCs w:val="24"/>
        </w:rPr>
        <w:t>2018</w:t>
      </w:r>
      <w:r>
        <w:rPr>
          <w:rFonts w:hint="eastAsia" w:ascii="宋体" w:hAnsi="宋体"/>
          <w:sz w:val="24"/>
          <w:szCs w:val="24"/>
        </w:rPr>
        <w:t>届毕业生专业分为</w:t>
      </w:r>
      <w:r>
        <w:rPr>
          <w:rFonts w:ascii="宋体" w:hAnsi="宋体"/>
          <w:sz w:val="24"/>
          <w:szCs w:val="24"/>
        </w:rPr>
        <w:t>三大专业类群，分别是</w:t>
      </w:r>
      <w:r>
        <w:rPr>
          <w:rFonts w:hint="eastAsia" w:ascii="宋体" w:hAnsi="宋体"/>
          <w:sz w:val="24"/>
          <w:szCs w:val="24"/>
        </w:rPr>
        <w:t>农林类、工程类、信息类，其</w:t>
      </w:r>
      <w:r>
        <w:rPr>
          <w:rFonts w:ascii="宋体" w:hAnsi="宋体"/>
          <w:sz w:val="24"/>
          <w:szCs w:val="24"/>
        </w:rPr>
        <w:t>毕业生总数分别为</w:t>
      </w:r>
      <w:r>
        <w:rPr>
          <w:rFonts w:hint="eastAsia" w:ascii="宋体" w:hAnsi="宋体"/>
          <w:sz w:val="24"/>
          <w:szCs w:val="24"/>
        </w:rPr>
        <w:t>1358人</w:t>
      </w:r>
      <w:r>
        <w:rPr>
          <w:rFonts w:ascii="宋体" w:hAnsi="宋体"/>
          <w:sz w:val="24"/>
          <w:szCs w:val="24"/>
        </w:rPr>
        <w:t>、</w:t>
      </w:r>
      <w:r>
        <w:rPr>
          <w:rFonts w:hint="eastAsia" w:ascii="宋体" w:hAnsi="宋体"/>
          <w:sz w:val="24"/>
          <w:szCs w:val="24"/>
        </w:rPr>
        <w:t>1054人</w:t>
      </w:r>
      <w:r>
        <w:rPr>
          <w:rFonts w:ascii="宋体" w:hAnsi="宋体"/>
          <w:sz w:val="24"/>
          <w:szCs w:val="24"/>
        </w:rPr>
        <w:t>、</w:t>
      </w:r>
      <w:r>
        <w:rPr>
          <w:rFonts w:hint="eastAsia" w:ascii="宋体" w:hAnsi="宋体"/>
          <w:sz w:val="24"/>
          <w:szCs w:val="24"/>
        </w:rPr>
        <w:t>179人</w:t>
      </w:r>
      <w:r>
        <w:rPr>
          <w:rFonts w:ascii="宋体" w:hAnsi="宋体"/>
          <w:sz w:val="24"/>
          <w:szCs w:val="24"/>
        </w:rPr>
        <w:t>，</w:t>
      </w:r>
      <w:r>
        <w:rPr>
          <w:rFonts w:hint="eastAsia" w:ascii="宋体" w:hAnsi="宋体"/>
          <w:sz w:val="24"/>
          <w:szCs w:val="24"/>
        </w:rPr>
        <w:t>就业</w:t>
      </w:r>
      <w:r>
        <w:rPr>
          <w:rFonts w:ascii="宋体" w:hAnsi="宋体"/>
          <w:sz w:val="24"/>
          <w:szCs w:val="24"/>
        </w:rPr>
        <w:t>人数</w:t>
      </w:r>
      <w:r>
        <w:rPr>
          <w:rFonts w:hint="eastAsia" w:ascii="宋体" w:hAnsi="宋体"/>
          <w:sz w:val="24"/>
          <w:szCs w:val="24"/>
        </w:rPr>
        <w:t>分别</w:t>
      </w:r>
      <w:r>
        <w:rPr>
          <w:rFonts w:ascii="宋体" w:hAnsi="宋体"/>
          <w:sz w:val="24"/>
          <w:szCs w:val="24"/>
        </w:rPr>
        <w:t>为</w:t>
      </w:r>
      <w:r>
        <w:rPr>
          <w:rFonts w:hint="eastAsia" w:ascii="宋体" w:hAnsi="宋体"/>
          <w:sz w:val="24"/>
          <w:szCs w:val="24"/>
        </w:rPr>
        <w:t>1305人</w:t>
      </w:r>
      <w:r>
        <w:rPr>
          <w:rFonts w:ascii="宋体" w:hAnsi="宋体"/>
          <w:sz w:val="24"/>
          <w:szCs w:val="24"/>
        </w:rPr>
        <w:t>、</w:t>
      </w:r>
      <w:r>
        <w:rPr>
          <w:rFonts w:hint="eastAsia" w:ascii="宋体" w:hAnsi="宋体"/>
          <w:sz w:val="24"/>
          <w:szCs w:val="24"/>
        </w:rPr>
        <w:t>1009人</w:t>
      </w:r>
      <w:r>
        <w:rPr>
          <w:rFonts w:ascii="宋体" w:hAnsi="宋体"/>
          <w:sz w:val="24"/>
          <w:szCs w:val="24"/>
        </w:rPr>
        <w:t>、</w:t>
      </w:r>
      <w:r>
        <w:rPr>
          <w:rFonts w:hint="eastAsia" w:ascii="宋体" w:hAnsi="宋体"/>
          <w:sz w:val="24"/>
          <w:szCs w:val="24"/>
        </w:rPr>
        <w:t>175人</w:t>
      </w:r>
      <w:r>
        <w:rPr>
          <w:rFonts w:ascii="宋体" w:hAnsi="宋体"/>
          <w:sz w:val="24"/>
          <w:szCs w:val="24"/>
        </w:rPr>
        <w:t>，就业率分别为</w:t>
      </w:r>
      <w:r>
        <w:rPr>
          <w:rFonts w:ascii="宋体" w:hAnsi="宋体"/>
          <w:color w:val="000000"/>
          <w:sz w:val="24"/>
        </w:rPr>
        <w:t>96.10%</w:t>
      </w:r>
      <w:r>
        <w:rPr>
          <w:rFonts w:hint="eastAsia" w:ascii="宋体" w:hAnsi="宋体"/>
          <w:color w:val="000000"/>
          <w:sz w:val="24"/>
        </w:rPr>
        <w:t>、</w:t>
      </w:r>
      <w:r>
        <w:rPr>
          <w:rFonts w:ascii="宋体" w:hAnsi="宋体"/>
          <w:color w:val="000000"/>
          <w:sz w:val="24"/>
        </w:rPr>
        <w:t>95.55%</w:t>
      </w:r>
      <w:r>
        <w:rPr>
          <w:rFonts w:hint="eastAsia" w:ascii="宋体" w:hAnsi="宋体"/>
          <w:color w:val="000000"/>
          <w:sz w:val="24"/>
        </w:rPr>
        <w:t>、</w:t>
      </w:r>
      <w:r>
        <w:rPr>
          <w:rFonts w:ascii="宋体" w:hAnsi="宋体"/>
          <w:color w:val="000000"/>
          <w:sz w:val="24"/>
        </w:rPr>
        <w:t>96.86%</w:t>
      </w:r>
      <w:r>
        <w:rPr>
          <w:rFonts w:hint="eastAsia" w:ascii="宋体" w:hAnsi="宋体"/>
          <w:sz w:val="24"/>
        </w:rPr>
        <w:t>。各</w:t>
      </w:r>
      <w:r>
        <w:rPr>
          <w:rFonts w:ascii="宋体" w:hAnsi="宋体"/>
          <w:sz w:val="24"/>
        </w:rPr>
        <w:t>专业群不同性别就业率见图</w:t>
      </w:r>
      <w:r>
        <w:rPr>
          <w:rFonts w:hint="eastAsia" w:ascii="宋体" w:hAnsi="宋体"/>
          <w:sz w:val="24"/>
        </w:rPr>
        <w:t>1</w:t>
      </w:r>
      <w:r>
        <w:rPr>
          <w:rFonts w:ascii="宋体" w:hAnsi="宋体"/>
          <w:sz w:val="24"/>
        </w:rPr>
        <w:t>-5</w:t>
      </w:r>
      <w:r>
        <w:rPr>
          <w:rFonts w:hint="eastAsia" w:ascii="宋体" w:hAnsi="宋体"/>
          <w:sz w:val="24"/>
        </w:rPr>
        <w:t>。</w:t>
      </w:r>
    </w:p>
    <w:tbl>
      <w:tblPr>
        <w:tblStyle w:val="20"/>
        <w:tblW w:w="90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0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35" w:hRule="atLeast"/>
        </w:trPr>
        <w:tc>
          <w:tcPr>
            <w:tcW w:w="9060" w:type="dxa"/>
          </w:tcPr>
          <w:p>
            <w:pPr>
              <w:spacing w:line="480" w:lineRule="exact"/>
              <w:rPr>
                <w:rFonts w:ascii="宋体" w:hAnsi="宋体"/>
                <w:sz w:val="24"/>
              </w:rPr>
            </w:pPr>
            <w:r>
              <w:rPr>
                <w:rFonts w:ascii="Times New Roman" w:hAnsi="Times New Roman"/>
                <w:b/>
                <w:sz w:val="18"/>
                <w:szCs w:val="18"/>
              </w:rPr>
              <w:drawing>
                <wp:anchor distT="0" distB="2540" distL="114300" distR="114300" simplePos="0" relativeHeight="251658240" behindDoc="0" locked="0" layoutInCell="1" allowOverlap="1">
                  <wp:simplePos x="0" y="0"/>
                  <wp:positionH relativeFrom="column">
                    <wp:posOffset>269240</wp:posOffset>
                  </wp:positionH>
                  <wp:positionV relativeFrom="paragraph">
                    <wp:posOffset>210820</wp:posOffset>
                  </wp:positionV>
                  <wp:extent cx="5062220" cy="3143250"/>
                  <wp:effectExtent l="0" t="0" r="5080" b="0"/>
                  <wp:wrapNone/>
                  <wp:docPr id="6" name="对象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7" w:hRule="exact"/>
        </w:trPr>
        <w:tc>
          <w:tcPr>
            <w:tcW w:w="9060" w:type="dxa"/>
            <w:vAlign w:val="center"/>
          </w:tcPr>
          <w:p>
            <w:pPr>
              <w:spacing w:line="240" w:lineRule="exact"/>
              <w:jc w:val="center"/>
              <w:rPr>
                <w:rFonts w:asciiTheme="minorEastAsia" w:hAnsiTheme="minorEastAsia" w:eastAsiaTheme="minorEastAsia"/>
                <w:b/>
                <w:szCs w:val="21"/>
              </w:rPr>
            </w:pPr>
          </w:p>
          <w:p>
            <w:pPr>
              <w:spacing w:line="240" w:lineRule="exact"/>
              <w:jc w:val="center"/>
              <w:rPr>
                <w:rFonts w:ascii="宋体" w:hAnsi="宋体"/>
                <w:sz w:val="24"/>
              </w:rPr>
            </w:pPr>
            <w:r>
              <w:rPr>
                <w:rFonts w:hint="eastAsia" w:asciiTheme="minorEastAsia" w:hAnsiTheme="minorEastAsia" w:eastAsiaTheme="minorEastAsia"/>
                <w:b/>
                <w:szCs w:val="21"/>
              </w:rPr>
              <w:t>图</w:t>
            </w:r>
            <w:r>
              <w:rPr>
                <w:rFonts w:asciiTheme="minorEastAsia" w:hAnsiTheme="minorEastAsia" w:eastAsiaTheme="minorEastAsia"/>
                <w:b/>
                <w:szCs w:val="21"/>
              </w:rPr>
              <w:t xml:space="preserve">1-5  </w:t>
            </w:r>
            <w:r>
              <w:rPr>
                <w:rFonts w:hint="eastAsia" w:asciiTheme="minorEastAsia" w:hAnsiTheme="minorEastAsia" w:eastAsiaTheme="minorEastAsia"/>
                <w:b/>
                <w:szCs w:val="21"/>
              </w:rPr>
              <w:t>各专业</w:t>
            </w:r>
            <w:r>
              <w:rPr>
                <w:rFonts w:hint="eastAsia" w:ascii="Times New Roman" w:hAnsi="Times New Roman"/>
                <w:b/>
                <w:szCs w:val="21"/>
              </w:rPr>
              <w:t>大类就业人数分布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7" w:hRule="exact"/>
        </w:trPr>
        <w:tc>
          <w:tcPr>
            <w:tcW w:w="9060" w:type="dxa"/>
            <w:vAlign w:val="center"/>
          </w:tcPr>
          <w:p>
            <w:pPr>
              <w:spacing w:line="240" w:lineRule="exact"/>
              <w:ind w:firstLine="420" w:firstLineChars="200"/>
              <w:jc w:val="left"/>
              <w:rPr>
                <w:rFonts w:ascii="黑体" w:hAnsi="黑体" w:eastAsia="黑体"/>
                <w:szCs w:val="21"/>
              </w:rPr>
            </w:pPr>
          </w:p>
          <w:p>
            <w:pPr>
              <w:spacing w:line="240" w:lineRule="exact"/>
              <w:ind w:firstLine="420" w:firstLineChars="200"/>
              <w:jc w:val="left"/>
              <w:rPr>
                <w:rFonts w:asciiTheme="minorEastAsia" w:hAnsiTheme="minorEastAsia" w:eastAsiaTheme="minorEastAsia"/>
                <w:b/>
                <w:szCs w:val="21"/>
              </w:rPr>
            </w:pPr>
            <w:r>
              <w:rPr>
                <w:rFonts w:hint="eastAsia" w:ascii="黑体" w:hAnsi="黑体" w:eastAsia="黑体"/>
                <w:szCs w:val="21"/>
              </w:rPr>
              <w:t>注：数据来源于全国</w:t>
            </w:r>
            <w:r>
              <w:rPr>
                <w:rFonts w:ascii="黑体" w:hAnsi="黑体" w:eastAsia="黑体"/>
                <w:szCs w:val="21"/>
              </w:rPr>
              <w:t>高校毕业生</w:t>
            </w:r>
            <w:r>
              <w:rPr>
                <w:rFonts w:hint="eastAsia" w:ascii="黑体" w:hAnsi="黑体" w:eastAsia="黑体"/>
                <w:szCs w:val="21"/>
              </w:rPr>
              <w:t>就业</w:t>
            </w:r>
            <w:r>
              <w:rPr>
                <w:rFonts w:ascii="黑体" w:hAnsi="黑体" w:eastAsia="黑体"/>
                <w:szCs w:val="21"/>
              </w:rPr>
              <w:t>管理</w:t>
            </w:r>
            <w:r>
              <w:rPr>
                <w:rFonts w:hint="eastAsia" w:ascii="黑体" w:hAnsi="黑体" w:eastAsia="黑体"/>
                <w:szCs w:val="21"/>
              </w:rPr>
              <w:t>与</w:t>
            </w:r>
            <w:r>
              <w:rPr>
                <w:rFonts w:ascii="黑体" w:hAnsi="黑体" w:eastAsia="黑体"/>
                <w:szCs w:val="21"/>
              </w:rPr>
              <w:t>监测</w:t>
            </w:r>
            <w:r>
              <w:rPr>
                <w:rFonts w:hint="eastAsia" w:ascii="黑体" w:hAnsi="黑体" w:eastAsia="黑体"/>
                <w:szCs w:val="21"/>
              </w:rPr>
              <w:t>系统</w:t>
            </w:r>
            <w:r>
              <w:rPr>
                <w:rFonts w:ascii="黑体" w:hAnsi="黑体" w:eastAsia="黑体"/>
                <w:szCs w:val="21"/>
              </w:rPr>
              <w:t>。</w:t>
            </w:r>
          </w:p>
        </w:tc>
      </w:tr>
    </w:tbl>
    <w:p>
      <w:pPr>
        <w:pStyle w:val="3"/>
        <w:spacing w:before="0" w:after="0" w:line="500" w:lineRule="exact"/>
        <w:ind w:firstLine="643" w:firstLineChars="200"/>
      </w:pPr>
      <w:bookmarkStart w:id="24" w:name="_Toc533861914"/>
      <w:r>
        <w:rPr>
          <w:rFonts w:hint="eastAsia"/>
        </w:rPr>
        <w:t>四、就业流向</w:t>
      </w:r>
      <w:bookmarkEnd w:id="22"/>
      <w:bookmarkEnd w:id="24"/>
    </w:p>
    <w:p>
      <w:pPr>
        <w:pStyle w:val="4"/>
        <w:spacing w:before="0" w:after="0" w:line="500" w:lineRule="exact"/>
        <w:ind w:firstLine="562" w:firstLineChars="200"/>
        <w:rPr>
          <w:sz w:val="28"/>
          <w:szCs w:val="28"/>
        </w:rPr>
      </w:pPr>
      <w:bookmarkStart w:id="25" w:name="_Toc438627729"/>
      <w:bookmarkStart w:id="26" w:name="_Toc533861915"/>
      <w:r>
        <w:rPr>
          <w:rFonts w:hint="eastAsia"/>
          <w:sz w:val="28"/>
          <w:szCs w:val="28"/>
        </w:rPr>
        <w:t>（一）</w:t>
      </w:r>
      <w:bookmarkEnd w:id="25"/>
      <w:r>
        <w:rPr>
          <w:rFonts w:hint="eastAsia"/>
          <w:sz w:val="28"/>
          <w:szCs w:val="28"/>
        </w:rPr>
        <w:t>就业单位分布</w:t>
      </w:r>
      <w:bookmarkEnd w:id="26"/>
    </w:p>
    <w:p>
      <w:pPr>
        <w:spacing w:line="480" w:lineRule="exact"/>
        <w:ind w:firstLine="480" w:firstLineChars="200"/>
        <w:rPr>
          <w:rFonts w:ascii="宋体" w:hAnsi="宋体"/>
          <w:sz w:val="24"/>
          <w:szCs w:val="24"/>
        </w:rPr>
      </w:pPr>
      <w:r>
        <w:rPr>
          <w:rFonts w:ascii="宋体" w:hAnsi="宋体"/>
          <w:sz w:val="24"/>
          <w:szCs w:val="24"/>
        </w:rPr>
        <w:t>2018</w:t>
      </w:r>
      <w:r>
        <w:rPr>
          <w:rFonts w:hint="eastAsia" w:ascii="宋体" w:hAnsi="宋体"/>
          <w:sz w:val="24"/>
          <w:szCs w:val="24"/>
        </w:rPr>
        <w:t>届</w:t>
      </w:r>
      <w:r>
        <w:rPr>
          <w:rFonts w:ascii="宋体" w:hAnsi="宋体"/>
          <w:sz w:val="24"/>
          <w:szCs w:val="24"/>
        </w:rPr>
        <w:t>2591</w:t>
      </w:r>
      <w:r>
        <w:rPr>
          <w:rFonts w:hint="eastAsia" w:ascii="宋体" w:hAnsi="宋体"/>
          <w:sz w:val="24"/>
          <w:szCs w:val="24"/>
        </w:rPr>
        <w:t>名毕业生，就业人数</w:t>
      </w:r>
      <w:r>
        <w:rPr>
          <w:rFonts w:ascii="宋体" w:hAnsi="宋体"/>
          <w:sz w:val="24"/>
          <w:szCs w:val="24"/>
        </w:rPr>
        <w:t>2489</w:t>
      </w:r>
      <w:r>
        <w:rPr>
          <w:rFonts w:hint="eastAsia" w:ascii="宋体" w:hAnsi="宋体"/>
          <w:sz w:val="24"/>
          <w:szCs w:val="24"/>
        </w:rPr>
        <w:t>人，主要</w:t>
      </w:r>
      <w:r>
        <w:rPr>
          <w:rFonts w:ascii="宋体" w:hAnsi="宋体"/>
          <w:sz w:val="24"/>
          <w:szCs w:val="24"/>
        </w:rPr>
        <w:t>流向单位性质为企业。</w:t>
      </w:r>
      <w:r>
        <w:rPr>
          <w:rFonts w:hint="eastAsia" w:ascii="宋体" w:hAnsi="宋体"/>
          <w:sz w:val="24"/>
          <w:szCs w:val="24"/>
        </w:rPr>
        <w:t>其中民营企业就业</w:t>
      </w:r>
      <w:r>
        <w:rPr>
          <w:rFonts w:ascii="宋体" w:hAnsi="宋体"/>
          <w:sz w:val="24"/>
          <w:szCs w:val="24"/>
        </w:rPr>
        <w:t>2063</w:t>
      </w:r>
      <w:r>
        <w:rPr>
          <w:rFonts w:hint="eastAsia" w:ascii="宋体" w:hAnsi="宋体"/>
          <w:sz w:val="24"/>
          <w:szCs w:val="24"/>
        </w:rPr>
        <w:t>人，占就业总数的</w:t>
      </w:r>
      <w:r>
        <w:rPr>
          <w:rFonts w:ascii="宋体" w:hAnsi="宋体"/>
          <w:sz w:val="24"/>
          <w:szCs w:val="24"/>
        </w:rPr>
        <w:t>82.88%</w:t>
      </w:r>
      <w:r>
        <w:rPr>
          <w:rFonts w:hint="eastAsia" w:ascii="宋体" w:hAnsi="宋体"/>
          <w:sz w:val="24"/>
          <w:szCs w:val="24"/>
        </w:rPr>
        <w:t>；合资企业就业</w:t>
      </w:r>
      <w:r>
        <w:rPr>
          <w:rFonts w:ascii="宋体" w:hAnsi="宋体"/>
          <w:sz w:val="24"/>
          <w:szCs w:val="24"/>
        </w:rPr>
        <w:t>162</w:t>
      </w:r>
      <w:r>
        <w:rPr>
          <w:rFonts w:hint="eastAsia" w:ascii="宋体" w:hAnsi="宋体"/>
          <w:sz w:val="24"/>
          <w:szCs w:val="24"/>
        </w:rPr>
        <w:t>人，占就业总数的</w:t>
      </w:r>
      <w:r>
        <w:rPr>
          <w:rFonts w:ascii="宋体" w:hAnsi="宋体"/>
          <w:sz w:val="24"/>
          <w:szCs w:val="24"/>
        </w:rPr>
        <w:t>6.51%</w:t>
      </w:r>
      <w:r>
        <w:rPr>
          <w:rFonts w:hint="eastAsia" w:ascii="宋体" w:hAnsi="宋体"/>
          <w:sz w:val="24"/>
          <w:szCs w:val="24"/>
        </w:rPr>
        <w:t>；国有企业</w:t>
      </w:r>
      <w:r>
        <w:rPr>
          <w:rFonts w:ascii="宋体" w:hAnsi="宋体"/>
          <w:sz w:val="24"/>
          <w:szCs w:val="24"/>
        </w:rPr>
        <w:t>128</w:t>
      </w:r>
      <w:r>
        <w:rPr>
          <w:rFonts w:hint="eastAsia" w:ascii="宋体" w:hAnsi="宋体"/>
          <w:sz w:val="24"/>
          <w:szCs w:val="24"/>
        </w:rPr>
        <w:t>人，占就业总数的</w:t>
      </w:r>
      <w:r>
        <w:rPr>
          <w:rFonts w:ascii="宋体" w:hAnsi="宋体"/>
          <w:sz w:val="24"/>
          <w:szCs w:val="24"/>
        </w:rPr>
        <w:t>5.14</w:t>
      </w:r>
      <w:r>
        <w:rPr>
          <w:rFonts w:hint="eastAsia" w:ascii="宋体" w:hAnsi="宋体"/>
          <w:sz w:val="24"/>
          <w:szCs w:val="24"/>
        </w:rPr>
        <w:t>；事业单位</w:t>
      </w:r>
      <w:r>
        <w:rPr>
          <w:rFonts w:ascii="宋体" w:hAnsi="宋体"/>
          <w:sz w:val="24"/>
          <w:szCs w:val="24"/>
        </w:rPr>
        <w:t>82</w:t>
      </w:r>
      <w:r>
        <w:rPr>
          <w:rFonts w:hint="eastAsia" w:ascii="宋体" w:hAnsi="宋体"/>
          <w:sz w:val="24"/>
          <w:szCs w:val="24"/>
        </w:rPr>
        <w:t>人，占就业总数的</w:t>
      </w:r>
      <w:r>
        <w:rPr>
          <w:rFonts w:ascii="宋体" w:hAnsi="宋体"/>
          <w:sz w:val="24"/>
          <w:szCs w:val="24"/>
        </w:rPr>
        <w:t>3.29</w:t>
      </w:r>
      <w:r>
        <w:rPr>
          <w:rFonts w:hint="eastAsia" w:ascii="宋体" w:hAnsi="宋体"/>
          <w:sz w:val="24"/>
          <w:szCs w:val="24"/>
        </w:rPr>
        <w:t>，见图</w:t>
      </w:r>
      <w:r>
        <w:rPr>
          <w:rFonts w:ascii="宋体" w:hAnsi="宋体"/>
          <w:sz w:val="24"/>
          <w:szCs w:val="24"/>
        </w:rPr>
        <w:t>1-6</w:t>
      </w:r>
      <w:r>
        <w:rPr>
          <w:rFonts w:hint="eastAsia" w:ascii="宋体" w:hAnsi="宋体"/>
          <w:sz w:val="24"/>
          <w:szCs w:val="24"/>
        </w:rPr>
        <w:t>。</w:t>
      </w:r>
    </w:p>
    <w:p>
      <w:pPr>
        <w:spacing w:line="480" w:lineRule="exact"/>
        <w:ind w:firstLine="480" w:firstLineChars="200"/>
        <w:rPr>
          <w:rFonts w:ascii="宋体" w:hAnsi="宋体"/>
          <w:sz w:val="24"/>
          <w:szCs w:val="24"/>
        </w:rPr>
      </w:pPr>
    </w:p>
    <w:p>
      <w:pPr>
        <w:spacing w:line="540" w:lineRule="exact"/>
        <w:ind w:firstLine="480" w:firstLineChars="200"/>
        <w:rPr>
          <w:rFonts w:ascii="宋体" w:hAnsi="宋体"/>
          <w:sz w:val="24"/>
          <w:szCs w:val="24"/>
        </w:rPr>
      </w:pPr>
    </w:p>
    <w:tbl>
      <w:tblPr>
        <w:tblStyle w:val="20"/>
        <w:tblW w:w="90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0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10" w:hRule="atLeast"/>
        </w:trPr>
        <w:tc>
          <w:tcPr>
            <w:tcW w:w="9060" w:type="dxa"/>
          </w:tcPr>
          <w:p>
            <w:pPr>
              <w:spacing w:line="40" w:lineRule="exact"/>
              <w:rPr>
                <w:rFonts w:ascii="宋体" w:hAnsi="宋体"/>
                <w:sz w:val="24"/>
                <w:szCs w:val="24"/>
              </w:rPr>
            </w:pPr>
            <w:r>
              <w:rPr>
                <w:rFonts w:ascii="宋体" w:hAnsi="宋体"/>
                <w:sz w:val="24"/>
                <w:szCs w:val="24"/>
              </w:rPr>
              <w:drawing>
                <wp:anchor distT="0" distB="0" distL="114300" distR="114300" simplePos="0" relativeHeight="251695104" behindDoc="0" locked="0" layoutInCell="1" allowOverlap="1">
                  <wp:simplePos x="0" y="0"/>
                  <wp:positionH relativeFrom="column">
                    <wp:posOffset>53340</wp:posOffset>
                  </wp:positionH>
                  <wp:positionV relativeFrom="paragraph">
                    <wp:posOffset>94615</wp:posOffset>
                  </wp:positionV>
                  <wp:extent cx="5509895" cy="2909570"/>
                  <wp:effectExtent l="0" t="0" r="14605" b="5080"/>
                  <wp:wrapSquare wrapText="bothSides"/>
                  <wp:docPr id="31" name="图表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exact"/>
        </w:trPr>
        <w:tc>
          <w:tcPr>
            <w:tcW w:w="9060" w:type="dxa"/>
            <w:vAlign w:val="center"/>
          </w:tcPr>
          <w:p>
            <w:pPr>
              <w:ind w:firstLine="422" w:firstLineChars="200"/>
              <w:jc w:val="center"/>
              <w:rPr>
                <w:rFonts w:ascii="宋体" w:hAnsi="宋体"/>
                <w:sz w:val="24"/>
                <w:szCs w:val="24"/>
              </w:rPr>
            </w:pPr>
            <w:r>
              <w:rPr>
                <w:rFonts w:hint="eastAsia" w:asciiTheme="minorEastAsia" w:hAnsiTheme="minorEastAsia" w:eastAsiaTheme="minorEastAsia"/>
                <w:b/>
                <w:szCs w:val="21"/>
              </w:rPr>
              <w:t>图</w:t>
            </w:r>
            <w:r>
              <w:rPr>
                <w:rFonts w:asciiTheme="minorEastAsia" w:hAnsiTheme="minorEastAsia" w:eastAsiaTheme="minorEastAsia"/>
                <w:b/>
                <w:szCs w:val="21"/>
              </w:rPr>
              <w:t>1-6  2018</w:t>
            </w:r>
            <w:r>
              <w:rPr>
                <w:rFonts w:hint="eastAsia" w:asciiTheme="minorEastAsia" w:hAnsiTheme="minorEastAsia" w:eastAsiaTheme="minorEastAsia"/>
                <w:b/>
                <w:szCs w:val="21"/>
              </w:rPr>
              <w:t>届</w:t>
            </w:r>
            <w:r>
              <w:rPr>
                <w:rFonts w:asciiTheme="minorEastAsia" w:hAnsiTheme="minorEastAsia" w:eastAsiaTheme="minorEastAsia"/>
                <w:b/>
                <w:szCs w:val="21"/>
              </w:rPr>
              <w:t>毕业生</w:t>
            </w:r>
            <w:r>
              <w:rPr>
                <w:rFonts w:hint="eastAsia" w:asciiTheme="minorEastAsia" w:hAnsiTheme="minorEastAsia" w:eastAsiaTheme="minorEastAsia"/>
                <w:b/>
                <w:szCs w:val="21"/>
              </w:rPr>
              <w:t>就</w:t>
            </w:r>
            <w:r>
              <w:rPr>
                <w:rFonts w:hint="eastAsia" w:ascii="Times New Roman" w:hAnsi="Times New Roman"/>
                <w:b/>
                <w:szCs w:val="21"/>
              </w:rPr>
              <w:t>业单位分布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trPr>
        <w:tc>
          <w:tcPr>
            <w:tcW w:w="9060" w:type="dxa"/>
            <w:vAlign w:val="center"/>
          </w:tcPr>
          <w:p>
            <w:pPr>
              <w:rPr>
                <w:rFonts w:asciiTheme="minorEastAsia" w:hAnsiTheme="minorEastAsia" w:eastAsiaTheme="minorEastAsia"/>
                <w:b/>
                <w:szCs w:val="21"/>
              </w:rPr>
            </w:pPr>
            <w:r>
              <w:rPr>
                <w:rFonts w:hint="eastAsia" w:ascii="黑体" w:hAnsi="黑体" w:eastAsia="黑体"/>
                <w:szCs w:val="21"/>
              </w:rPr>
              <w:t>注：数据来源于全国</w:t>
            </w:r>
            <w:r>
              <w:rPr>
                <w:rFonts w:ascii="黑体" w:hAnsi="黑体" w:eastAsia="黑体"/>
                <w:szCs w:val="21"/>
              </w:rPr>
              <w:t>高校毕业生</w:t>
            </w:r>
            <w:r>
              <w:rPr>
                <w:rFonts w:hint="eastAsia" w:ascii="黑体" w:hAnsi="黑体" w:eastAsia="黑体"/>
                <w:szCs w:val="21"/>
              </w:rPr>
              <w:t>就业</w:t>
            </w:r>
            <w:r>
              <w:rPr>
                <w:rFonts w:ascii="黑体" w:hAnsi="黑体" w:eastAsia="黑体"/>
                <w:szCs w:val="21"/>
              </w:rPr>
              <w:t>管理</w:t>
            </w:r>
            <w:r>
              <w:rPr>
                <w:rFonts w:hint="eastAsia" w:ascii="黑体" w:hAnsi="黑体" w:eastAsia="黑体"/>
                <w:szCs w:val="21"/>
              </w:rPr>
              <w:t>与</w:t>
            </w:r>
            <w:r>
              <w:rPr>
                <w:rFonts w:ascii="黑体" w:hAnsi="黑体" w:eastAsia="黑体"/>
                <w:szCs w:val="21"/>
              </w:rPr>
              <w:t>监测</w:t>
            </w:r>
            <w:r>
              <w:rPr>
                <w:rFonts w:hint="eastAsia" w:ascii="黑体" w:hAnsi="黑体" w:eastAsia="黑体"/>
                <w:szCs w:val="21"/>
              </w:rPr>
              <w:t>系统</w:t>
            </w:r>
            <w:r>
              <w:rPr>
                <w:rFonts w:ascii="黑体" w:hAnsi="黑体" w:eastAsia="黑体"/>
                <w:szCs w:val="21"/>
              </w:rPr>
              <w:t>。</w:t>
            </w:r>
          </w:p>
        </w:tc>
      </w:tr>
    </w:tbl>
    <w:p>
      <w:pPr>
        <w:pStyle w:val="4"/>
        <w:spacing w:before="0" w:after="0" w:line="500" w:lineRule="exact"/>
        <w:ind w:firstLine="562" w:firstLineChars="200"/>
        <w:rPr>
          <w:sz w:val="28"/>
          <w:szCs w:val="28"/>
        </w:rPr>
      </w:pPr>
      <w:bookmarkStart w:id="27" w:name="_Toc533861916"/>
      <w:r>
        <w:rPr>
          <w:rFonts w:hint="eastAsia"/>
          <w:sz w:val="28"/>
          <w:szCs w:val="28"/>
        </w:rPr>
        <w:t>（二）就业地区分布</w:t>
      </w:r>
      <w:bookmarkEnd w:id="27"/>
    </w:p>
    <w:p>
      <w:pPr>
        <w:spacing w:line="480" w:lineRule="exact"/>
        <w:ind w:firstLine="480" w:firstLineChars="200"/>
        <w:rPr>
          <w:rFonts w:ascii="宋体" w:hAnsi="宋体"/>
          <w:sz w:val="24"/>
          <w:szCs w:val="24"/>
        </w:rPr>
      </w:pPr>
      <w:r>
        <w:rPr>
          <w:rFonts w:hint="eastAsia" w:ascii="宋体" w:hAnsi="宋体"/>
          <w:sz w:val="24"/>
          <w:szCs w:val="24"/>
        </w:rPr>
        <w:t>2018届毕业生就业地域涉及22个省、自治区和直辖市。其中新疆、甘肃、浙江省、陕西省、江苏省等</w:t>
      </w:r>
      <w:r>
        <w:rPr>
          <w:rFonts w:ascii="宋体" w:hAnsi="宋体"/>
          <w:sz w:val="24"/>
          <w:szCs w:val="24"/>
        </w:rPr>
        <w:t>5</w:t>
      </w:r>
      <w:r>
        <w:rPr>
          <w:rFonts w:hint="eastAsia" w:ascii="宋体" w:hAnsi="宋体"/>
          <w:sz w:val="24"/>
          <w:szCs w:val="24"/>
        </w:rPr>
        <w:t>个省（自治区）就业人数最多，依次为430人、</w:t>
      </w:r>
      <w:r>
        <w:rPr>
          <w:rFonts w:ascii="宋体" w:hAnsi="宋体"/>
          <w:sz w:val="24"/>
          <w:szCs w:val="24"/>
        </w:rPr>
        <w:t>416</w:t>
      </w:r>
      <w:r>
        <w:rPr>
          <w:rFonts w:hint="eastAsia" w:ascii="宋体" w:hAnsi="宋体"/>
          <w:sz w:val="24"/>
          <w:szCs w:val="24"/>
        </w:rPr>
        <w:t>人、</w:t>
      </w:r>
      <w:r>
        <w:rPr>
          <w:rFonts w:ascii="宋体" w:hAnsi="宋体"/>
          <w:sz w:val="24"/>
          <w:szCs w:val="24"/>
        </w:rPr>
        <w:t>2</w:t>
      </w:r>
      <w:r>
        <w:rPr>
          <w:rFonts w:hint="eastAsia" w:ascii="宋体" w:hAnsi="宋体"/>
          <w:sz w:val="24"/>
          <w:szCs w:val="24"/>
        </w:rPr>
        <w:t>57人、</w:t>
      </w:r>
      <w:r>
        <w:rPr>
          <w:rFonts w:ascii="宋体" w:hAnsi="宋体"/>
          <w:sz w:val="24"/>
          <w:szCs w:val="24"/>
        </w:rPr>
        <w:t>2</w:t>
      </w:r>
      <w:r>
        <w:rPr>
          <w:rFonts w:hint="eastAsia" w:ascii="宋体" w:hAnsi="宋体"/>
          <w:sz w:val="24"/>
          <w:szCs w:val="24"/>
        </w:rPr>
        <w:t>39人、</w:t>
      </w:r>
      <w:r>
        <w:rPr>
          <w:rFonts w:ascii="宋体" w:hAnsi="宋体"/>
          <w:sz w:val="24"/>
          <w:szCs w:val="24"/>
        </w:rPr>
        <w:t>2</w:t>
      </w:r>
      <w:r>
        <w:rPr>
          <w:rFonts w:hint="eastAsia" w:ascii="宋体" w:hAnsi="宋体"/>
          <w:sz w:val="24"/>
          <w:szCs w:val="24"/>
        </w:rPr>
        <w:t>15人，</w:t>
      </w:r>
      <w:r>
        <w:rPr>
          <w:rFonts w:ascii="宋体" w:hAnsi="宋体"/>
          <w:sz w:val="24"/>
          <w:szCs w:val="24"/>
        </w:rPr>
        <w:t>5</w:t>
      </w:r>
      <w:r>
        <w:rPr>
          <w:rFonts w:hint="eastAsia" w:ascii="宋体" w:hAnsi="宋体"/>
          <w:sz w:val="24"/>
          <w:szCs w:val="24"/>
        </w:rPr>
        <w:t>省（自治区）就业总数15</w:t>
      </w:r>
      <w:r>
        <w:rPr>
          <w:rFonts w:ascii="宋体" w:hAnsi="宋体"/>
          <w:sz w:val="24"/>
          <w:szCs w:val="24"/>
        </w:rPr>
        <w:t>57</w:t>
      </w:r>
      <w:r>
        <w:rPr>
          <w:rFonts w:hint="eastAsia" w:ascii="宋体" w:hAnsi="宋体"/>
          <w:sz w:val="24"/>
          <w:szCs w:val="24"/>
        </w:rPr>
        <w:t>人，达就业总数的</w:t>
      </w:r>
      <w:r>
        <w:rPr>
          <w:rFonts w:ascii="宋体" w:hAnsi="宋体"/>
          <w:sz w:val="24"/>
          <w:szCs w:val="24"/>
        </w:rPr>
        <w:t>6</w:t>
      </w:r>
      <w:r>
        <w:rPr>
          <w:rFonts w:hint="eastAsia" w:ascii="宋体" w:hAnsi="宋体"/>
          <w:sz w:val="24"/>
          <w:szCs w:val="24"/>
        </w:rPr>
        <w:t>2</w:t>
      </w:r>
      <w:r>
        <w:rPr>
          <w:rFonts w:ascii="宋体" w:hAnsi="宋体"/>
          <w:sz w:val="24"/>
          <w:szCs w:val="24"/>
        </w:rPr>
        <w:t>.56%</w:t>
      </w:r>
      <w:r>
        <w:rPr>
          <w:rFonts w:hint="eastAsia" w:ascii="宋体" w:hAnsi="宋体"/>
          <w:sz w:val="24"/>
          <w:szCs w:val="24"/>
        </w:rPr>
        <w:t>。从整体来看，</w:t>
      </w:r>
    </w:p>
    <w:tbl>
      <w:tblPr>
        <w:tblStyle w:val="20"/>
        <w:tblW w:w="927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2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370" w:hRule="atLeast"/>
          <w:jc w:val="center"/>
        </w:trPr>
        <w:tc>
          <w:tcPr>
            <w:tcW w:w="9276" w:type="dxa"/>
          </w:tcPr>
          <w:p>
            <w:pPr>
              <w:spacing w:line="80" w:lineRule="exact"/>
              <w:rPr>
                <w:rFonts w:ascii="宋体" w:hAnsi="宋体"/>
                <w:sz w:val="24"/>
                <w:szCs w:val="24"/>
              </w:rPr>
            </w:pPr>
            <w:r>
              <w:rPr>
                <w:rFonts w:ascii="Times New Roman" w:hAnsi="Times New Roman"/>
              </w:rPr>
              <w:drawing>
                <wp:anchor distT="0" distB="0" distL="114300" distR="114300" simplePos="0" relativeHeight="251697152" behindDoc="0" locked="0" layoutInCell="1" allowOverlap="1">
                  <wp:simplePos x="0" y="0"/>
                  <wp:positionH relativeFrom="column">
                    <wp:posOffset>-65405</wp:posOffset>
                  </wp:positionH>
                  <wp:positionV relativeFrom="paragraph">
                    <wp:posOffset>34290</wp:posOffset>
                  </wp:positionV>
                  <wp:extent cx="5742305" cy="3267710"/>
                  <wp:effectExtent l="0" t="0" r="10795" b="8890"/>
                  <wp:wrapSquare wrapText="bothSides"/>
                  <wp:docPr id="32"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exact"/>
          <w:jc w:val="center"/>
        </w:trPr>
        <w:tc>
          <w:tcPr>
            <w:tcW w:w="9276" w:type="dxa"/>
            <w:vAlign w:val="center"/>
          </w:tcPr>
          <w:p>
            <w:pPr>
              <w:jc w:val="center"/>
              <w:rPr>
                <w:rFonts w:ascii="宋体" w:hAnsi="宋体"/>
                <w:sz w:val="24"/>
                <w:szCs w:val="24"/>
              </w:rPr>
            </w:pPr>
            <w:r>
              <w:rPr>
                <w:rFonts w:hint="eastAsia" w:asciiTheme="minorEastAsia" w:hAnsiTheme="minorEastAsia" w:eastAsiaTheme="minorEastAsia"/>
                <w:b/>
                <w:szCs w:val="21"/>
              </w:rPr>
              <w:t>图</w:t>
            </w:r>
            <w:r>
              <w:rPr>
                <w:rFonts w:asciiTheme="minorEastAsia" w:hAnsiTheme="minorEastAsia" w:eastAsiaTheme="minorEastAsia"/>
                <w:b/>
                <w:szCs w:val="21"/>
              </w:rPr>
              <w:t>1-7  2018</w:t>
            </w:r>
            <w:r>
              <w:rPr>
                <w:rFonts w:hint="eastAsia" w:asciiTheme="minorEastAsia" w:hAnsiTheme="minorEastAsia" w:eastAsiaTheme="minorEastAsia"/>
                <w:b/>
                <w:szCs w:val="21"/>
              </w:rPr>
              <w:t>届</w:t>
            </w:r>
            <w:r>
              <w:rPr>
                <w:rFonts w:asciiTheme="minorEastAsia" w:hAnsiTheme="minorEastAsia" w:eastAsiaTheme="minorEastAsia"/>
                <w:b/>
                <w:szCs w:val="21"/>
              </w:rPr>
              <w:t>毕业生</w:t>
            </w:r>
            <w:r>
              <w:rPr>
                <w:rFonts w:hint="eastAsia" w:ascii="Times New Roman" w:hAnsi="Times New Roman"/>
                <w:b/>
                <w:szCs w:val="21"/>
              </w:rPr>
              <w:t>就业地区分布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exact"/>
          <w:jc w:val="center"/>
        </w:trPr>
        <w:tc>
          <w:tcPr>
            <w:tcW w:w="9276" w:type="dxa"/>
            <w:vAlign w:val="center"/>
          </w:tcPr>
          <w:p>
            <w:pPr>
              <w:rPr>
                <w:rFonts w:asciiTheme="minorEastAsia" w:hAnsiTheme="minorEastAsia" w:eastAsiaTheme="minorEastAsia"/>
                <w:b/>
                <w:szCs w:val="21"/>
              </w:rPr>
            </w:pPr>
            <w:r>
              <w:rPr>
                <w:rFonts w:hint="eastAsia" w:ascii="黑体" w:hAnsi="黑体" w:eastAsia="黑体"/>
                <w:szCs w:val="21"/>
              </w:rPr>
              <w:t>注：数据来源于全国</w:t>
            </w:r>
            <w:r>
              <w:rPr>
                <w:rFonts w:ascii="黑体" w:hAnsi="黑体" w:eastAsia="黑体"/>
                <w:szCs w:val="21"/>
              </w:rPr>
              <w:t>高校毕业生</w:t>
            </w:r>
            <w:r>
              <w:rPr>
                <w:rFonts w:hint="eastAsia" w:ascii="黑体" w:hAnsi="黑体" w:eastAsia="黑体"/>
                <w:szCs w:val="21"/>
              </w:rPr>
              <w:t>就业</w:t>
            </w:r>
            <w:r>
              <w:rPr>
                <w:rFonts w:ascii="黑体" w:hAnsi="黑体" w:eastAsia="黑体"/>
                <w:szCs w:val="21"/>
              </w:rPr>
              <w:t>管理</w:t>
            </w:r>
            <w:r>
              <w:rPr>
                <w:rFonts w:hint="eastAsia" w:ascii="黑体" w:hAnsi="黑体" w:eastAsia="黑体"/>
                <w:szCs w:val="21"/>
              </w:rPr>
              <w:t>与</w:t>
            </w:r>
            <w:r>
              <w:rPr>
                <w:rFonts w:ascii="黑体" w:hAnsi="黑体" w:eastAsia="黑体"/>
                <w:szCs w:val="21"/>
              </w:rPr>
              <w:t>监测</w:t>
            </w:r>
            <w:r>
              <w:rPr>
                <w:rFonts w:hint="eastAsia" w:ascii="黑体" w:hAnsi="黑体" w:eastAsia="黑体"/>
                <w:szCs w:val="21"/>
              </w:rPr>
              <w:t>系统</w:t>
            </w:r>
            <w:r>
              <w:rPr>
                <w:rFonts w:ascii="黑体" w:hAnsi="黑体" w:eastAsia="黑体"/>
                <w:szCs w:val="21"/>
              </w:rPr>
              <w:t>。</w:t>
            </w:r>
          </w:p>
        </w:tc>
      </w:tr>
      <w:bookmarkEnd w:id="4"/>
    </w:tbl>
    <w:p>
      <w:pPr>
        <w:spacing w:line="600" w:lineRule="exact"/>
        <w:rPr>
          <w:rFonts w:ascii="宋体" w:hAnsi="宋体"/>
          <w:sz w:val="24"/>
          <w:szCs w:val="24"/>
        </w:rPr>
      </w:pPr>
      <w:bookmarkStart w:id="28" w:name="_Toc438627731"/>
      <w:r>
        <w:rPr>
          <w:rFonts w:hint="eastAsia" w:ascii="宋体" w:hAnsi="宋体"/>
          <w:sz w:val="24"/>
          <w:szCs w:val="24"/>
        </w:rPr>
        <w:t>因受传统就业观念、“甘肃省民生实事就业项目和五个基层服务项目”等因素影响，毕业生对就业地域的选择仍然偏重于中西部地区，尤其偏向于甘肃省内就业，除江苏省外，东南沿海地区就业率很低。</w:t>
      </w:r>
    </w:p>
    <w:p>
      <w:pPr>
        <w:pStyle w:val="4"/>
        <w:spacing w:before="0" w:after="0" w:line="500" w:lineRule="exact"/>
        <w:ind w:firstLine="562" w:firstLineChars="200"/>
        <w:rPr>
          <w:sz w:val="28"/>
          <w:szCs w:val="28"/>
        </w:rPr>
      </w:pPr>
      <w:bookmarkStart w:id="29" w:name="_Toc533861917"/>
      <w:r>
        <w:rPr>
          <w:rFonts w:hint="eastAsia"/>
          <w:sz w:val="28"/>
          <w:szCs w:val="28"/>
        </w:rPr>
        <w:t>（三）就业行业分布</w:t>
      </w:r>
      <w:bookmarkEnd w:id="28"/>
      <w:bookmarkEnd w:id="29"/>
    </w:p>
    <w:p>
      <w:pPr>
        <w:spacing w:after="156" w:afterLines="50" w:line="600" w:lineRule="exact"/>
        <w:ind w:firstLine="480" w:firstLineChars="200"/>
        <w:rPr>
          <w:rFonts w:ascii="宋体" w:hAnsi="宋体"/>
          <w:sz w:val="24"/>
          <w:szCs w:val="24"/>
        </w:rPr>
      </w:pPr>
      <w:r>
        <w:rPr>
          <w:rFonts w:hint="eastAsia" w:ascii="宋体" w:hAnsi="宋体"/>
          <w:sz w:val="24"/>
          <w:szCs w:val="24"/>
        </w:rPr>
        <w:t>我院作为职业院校，所设专业行业特色鲜明，</w:t>
      </w:r>
      <w:r>
        <w:rPr>
          <w:rFonts w:ascii="宋体" w:hAnsi="宋体"/>
          <w:sz w:val="24"/>
          <w:szCs w:val="24"/>
        </w:rPr>
        <w:t>2018</w:t>
      </w:r>
      <w:r>
        <w:rPr>
          <w:rFonts w:hint="eastAsia" w:ascii="宋体" w:hAnsi="宋体"/>
          <w:sz w:val="24"/>
          <w:szCs w:val="24"/>
        </w:rPr>
        <w:t>届毕业生就业领域主要涉及农、林、牧、渔业，制造业</w:t>
      </w:r>
      <w:r>
        <w:rPr>
          <w:rFonts w:ascii="宋体" w:hAnsi="宋体"/>
          <w:sz w:val="24"/>
          <w:szCs w:val="24"/>
        </w:rPr>
        <w:t>，</w:t>
      </w:r>
      <w:r>
        <w:rPr>
          <w:rFonts w:hint="eastAsia" w:ascii="宋体" w:hAnsi="宋体"/>
          <w:sz w:val="24"/>
          <w:szCs w:val="24"/>
        </w:rPr>
        <w:t>交通运输、仓储和邮政业，信息传输、软件和信息技术服务业，电力、热力、燃气及水生产和供应业等</w:t>
      </w:r>
      <w:r>
        <w:rPr>
          <w:rFonts w:ascii="宋体" w:hAnsi="宋体"/>
          <w:sz w:val="24"/>
          <w:szCs w:val="24"/>
        </w:rPr>
        <w:t>5</w:t>
      </w:r>
      <w:r>
        <w:rPr>
          <w:rFonts w:hint="eastAsia" w:ascii="宋体" w:hAnsi="宋体"/>
          <w:sz w:val="24"/>
          <w:szCs w:val="24"/>
        </w:rPr>
        <w:t>大行业类群。</w:t>
      </w:r>
      <w:r>
        <w:rPr>
          <w:rFonts w:ascii="宋体" w:hAnsi="宋体"/>
          <w:sz w:val="24"/>
          <w:szCs w:val="24"/>
        </w:rPr>
        <w:t>就业行业主要集中在</w:t>
      </w:r>
      <w:r>
        <w:rPr>
          <w:rFonts w:hint="eastAsia" w:ascii="宋体" w:hAnsi="宋体"/>
          <w:sz w:val="24"/>
          <w:szCs w:val="24"/>
        </w:rPr>
        <w:t>农、林、牧、渔业和制造业，其就业人数分别为</w:t>
      </w:r>
      <w:r>
        <w:rPr>
          <w:rFonts w:ascii="宋体" w:hAnsi="宋体"/>
          <w:sz w:val="24"/>
          <w:szCs w:val="24"/>
        </w:rPr>
        <w:t>1250</w:t>
      </w:r>
      <w:r>
        <w:rPr>
          <w:rFonts w:hint="eastAsia" w:ascii="宋体" w:hAnsi="宋体"/>
          <w:sz w:val="24"/>
          <w:szCs w:val="24"/>
        </w:rPr>
        <w:t>人和</w:t>
      </w:r>
      <w:r>
        <w:rPr>
          <w:rFonts w:ascii="宋体" w:hAnsi="宋体"/>
          <w:sz w:val="24"/>
          <w:szCs w:val="24"/>
        </w:rPr>
        <w:t>710</w:t>
      </w:r>
      <w:r>
        <w:rPr>
          <w:rFonts w:hint="eastAsia" w:ascii="宋体" w:hAnsi="宋体"/>
          <w:sz w:val="24"/>
          <w:szCs w:val="24"/>
        </w:rPr>
        <w:t>人，两大行业类群占就业总数的</w:t>
      </w:r>
      <w:r>
        <w:rPr>
          <w:rFonts w:ascii="宋体" w:hAnsi="宋体"/>
          <w:sz w:val="24"/>
          <w:szCs w:val="24"/>
        </w:rPr>
        <w:t>78.75%</w:t>
      </w:r>
      <w:r>
        <w:rPr>
          <w:rFonts w:hint="eastAsia" w:ascii="宋体" w:hAnsi="宋体"/>
          <w:sz w:val="24"/>
          <w:szCs w:val="24"/>
        </w:rPr>
        <w:t>，交通运输、仓储和邮政业次之</w:t>
      </w:r>
      <w:r>
        <w:rPr>
          <w:rFonts w:ascii="宋体" w:hAnsi="宋体"/>
          <w:sz w:val="24"/>
          <w:szCs w:val="24"/>
        </w:rPr>
        <w:t>，其就业率达</w:t>
      </w:r>
      <w:r>
        <w:rPr>
          <w:rFonts w:hint="eastAsia" w:ascii="宋体" w:hAnsi="宋体"/>
          <w:sz w:val="24"/>
          <w:szCs w:val="24"/>
        </w:rPr>
        <w:t>10.61</w:t>
      </w:r>
      <w:r>
        <w:rPr>
          <w:rFonts w:ascii="宋体" w:hAnsi="宋体"/>
          <w:sz w:val="24"/>
          <w:szCs w:val="24"/>
        </w:rPr>
        <w:t>%</w:t>
      </w:r>
      <w:r>
        <w:rPr>
          <w:rFonts w:hint="eastAsia" w:ascii="宋体" w:hAnsi="宋体"/>
          <w:sz w:val="24"/>
          <w:szCs w:val="24"/>
        </w:rPr>
        <w:t>；</w:t>
      </w:r>
      <w:r>
        <w:rPr>
          <w:rFonts w:ascii="宋体" w:hAnsi="宋体"/>
          <w:sz w:val="24"/>
          <w:szCs w:val="24"/>
        </w:rPr>
        <w:t>这一行业流向</w:t>
      </w:r>
      <w:r>
        <w:rPr>
          <w:rFonts w:hint="eastAsia" w:ascii="宋体" w:hAnsi="宋体"/>
          <w:sz w:val="24"/>
          <w:szCs w:val="24"/>
        </w:rPr>
        <w:t>与</w:t>
      </w:r>
      <w:r>
        <w:rPr>
          <w:rFonts w:ascii="宋体" w:hAnsi="宋体"/>
          <w:sz w:val="24"/>
          <w:szCs w:val="24"/>
        </w:rPr>
        <w:t>我院</w:t>
      </w:r>
      <w:r>
        <w:rPr>
          <w:rFonts w:hint="eastAsia" w:ascii="宋体" w:hAnsi="宋体"/>
          <w:sz w:val="24"/>
          <w:szCs w:val="24"/>
        </w:rPr>
        <w:t>专业</w:t>
      </w:r>
      <w:r>
        <w:rPr>
          <w:rFonts w:ascii="宋体" w:hAnsi="宋体"/>
          <w:sz w:val="24"/>
          <w:szCs w:val="24"/>
        </w:rPr>
        <w:t>设置</w:t>
      </w:r>
      <w:r>
        <w:rPr>
          <w:rFonts w:hint="eastAsia" w:ascii="宋体" w:hAnsi="宋体"/>
          <w:sz w:val="24"/>
          <w:szCs w:val="24"/>
        </w:rPr>
        <w:t>及</w:t>
      </w:r>
      <w:r>
        <w:rPr>
          <w:rFonts w:ascii="宋体" w:hAnsi="宋体"/>
          <w:sz w:val="24"/>
          <w:szCs w:val="24"/>
        </w:rPr>
        <w:t>人才培养</w:t>
      </w:r>
      <w:r>
        <w:rPr>
          <w:rFonts w:hint="eastAsia" w:ascii="宋体" w:hAnsi="宋体"/>
          <w:sz w:val="24"/>
          <w:szCs w:val="24"/>
        </w:rPr>
        <w:t>定位</w:t>
      </w:r>
      <w:r>
        <w:rPr>
          <w:rFonts w:ascii="宋体" w:hAnsi="宋体"/>
          <w:sz w:val="24"/>
          <w:szCs w:val="24"/>
        </w:rPr>
        <w:t>基本符合</w:t>
      </w:r>
      <w:r>
        <w:rPr>
          <w:rFonts w:hint="eastAsia" w:ascii="宋体" w:hAnsi="宋体"/>
          <w:sz w:val="24"/>
          <w:szCs w:val="24"/>
        </w:rPr>
        <w:t>，</w:t>
      </w:r>
      <w:r>
        <w:rPr>
          <w:rFonts w:ascii="宋体" w:hAnsi="宋体"/>
          <w:sz w:val="24"/>
          <w:szCs w:val="24"/>
        </w:rPr>
        <w:t>见</w:t>
      </w:r>
      <w:r>
        <w:rPr>
          <w:rFonts w:hint="eastAsia" w:ascii="宋体" w:hAnsi="宋体"/>
          <w:sz w:val="24"/>
          <w:szCs w:val="24"/>
        </w:rPr>
        <w:t>图</w:t>
      </w:r>
      <w:r>
        <w:rPr>
          <w:rFonts w:ascii="宋体" w:hAnsi="宋体"/>
          <w:sz w:val="24"/>
          <w:szCs w:val="24"/>
        </w:rPr>
        <w:t>1-8</w:t>
      </w:r>
      <w:r>
        <w:rPr>
          <w:rFonts w:hint="eastAsia" w:ascii="宋体" w:hAnsi="宋体"/>
          <w:sz w:val="24"/>
          <w:szCs w:val="24"/>
        </w:rPr>
        <w:t>。</w:t>
      </w:r>
    </w:p>
    <w:tbl>
      <w:tblPr>
        <w:tblStyle w:val="20"/>
        <w:tblW w:w="9996" w:type="dxa"/>
        <w:tblInd w:w="-1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9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308" w:hRule="atLeast"/>
        </w:trPr>
        <w:tc>
          <w:tcPr>
            <w:tcW w:w="9996" w:type="dxa"/>
          </w:tcPr>
          <w:p>
            <w:pPr>
              <w:spacing w:line="80" w:lineRule="exact"/>
              <w:rPr>
                <w:rFonts w:ascii="宋体" w:hAnsi="宋体"/>
                <w:sz w:val="24"/>
                <w:szCs w:val="24"/>
              </w:rPr>
            </w:pPr>
            <w:r>
              <w:rPr>
                <w:rFonts w:ascii="宋体" w:hAnsi="宋体"/>
                <w:szCs w:val="21"/>
              </w:rPr>
              <w:drawing>
                <wp:anchor distT="0" distB="0" distL="114300" distR="114300" simplePos="0" relativeHeight="251699200" behindDoc="0" locked="0" layoutInCell="1" allowOverlap="1">
                  <wp:simplePos x="0" y="0"/>
                  <wp:positionH relativeFrom="column">
                    <wp:posOffset>19050</wp:posOffset>
                  </wp:positionH>
                  <wp:positionV relativeFrom="paragraph">
                    <wp:posOffset>111125</wp:posOffset>
                  </wp:positionV>
                  <wp:extent cx="6209665" cy="3832225"/>
                  <wp:effectExtent l="0" t="0" r="635" b="0"/>
                  <wp:wrapSquare wrapText="bothSides"/>
                  <wp:docPr id="35" name="图表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7" w:hRule="exact"/>
        </w:trPr>
        <w:tc>
          <w:tcPr>
            <w:tcW w:w="9996" w:type="dxa"/>
            <w:vAlign w:val="center"/>
          </w:tcPr>
          <w:p>
            <w:pPr>
              <w:spacing w:before="156" w:beforeLines="50" w:after="156" w:afterLines="50"/>
              <w:ind w:firstLine="422" w:firstLineChars="200"/>
              <w:jc w:val="center"/>
              <w:rPr>
                <w:rFonts w:ascii="宋体" w:hAnsi="宋体"/>
                <w:sz w:val="24"/>
                <w:szCs w:val="24"/>
              </w:rPr>
            </w:pPr>
            <w:r>
              <w:rPr>
                <w:rFonts w:hint="eastAsia" w:ascii="宋体" w:hAnsi="宋体"/>
                <w:b/>
                <w:szCs w:val="21"/>
              </w:rPr>
              <w:t>图</w:t>
            </w:r>
            <w:r>
              <w:rPr>
                <w:rFonts w:ascii="宋体" w:hAnsi="宋体"/>
                <w:b/>
                <w:szCs w:val="21"/>
              </w:rPr>
              <w:t>1-8  2018</w:t>
            </w:r>
            <w:r>
              <w:rPr>
                <w:rFonts w:hint="eastAsia" w:ascii="宋体" w:hAnsi="宋体"/>
                <w:b/>
                <w:szCs w:val="21"/>
              </w:rPr>
              <w:t>届毕业生就业行业分布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7" w:hRule="exact"/>
        </w:trPr>
        <w:tc>
          <w:tcPr>
            <w:tcW w:w="9996" w:type="dxa"/>
            <w:vAlign w:val="center"/>
          </w:tcPr>
          <w:p>
            <w:pPr>
              <w:rPr>
                <w:rFonts w:ascii="宋体" w:hAnsi="宋体"/>
                <w:sz w:val="24"/>
                <w:szCs w:val="24"/>
              </w:rPr>
            </w:pPr>
            <w:r>
              <w:rPr>
                <w:rFonts w:hint="eastAsia" w:ascii="黑体" w:hAnsi="黑体" w:eastAsia="黑体"/>
                <w:szCs w:val="21"/>
              </w:rPr>
              <w:t>注：数据来源于全国</w:t>
            </w:r>
            <w:r>
              <w:rPr>
                <w:rFonts w:ascii="黑体" w:hAnsi="黑体" w:eastAsia="黑体"/>
                <w:szCs w:val="21"/>
              </w:rPr>
              <w:t>高校毕业生</w:t>
            </w:r>
            <w:r>
              <w:rPr>
                <w:rFonts w:hint="eastAsia" w:ascii="黑体" w:hAnsi="黑体" w:eastAsia="黑体"/>
                <w:szCs w:val="21"/>
              </w:rPr>
              <w:t>就业</w:t>
            </w:r>
            <w:r>
              <w:rPr>
                <w:rFonts w:ascii="黑体" w:hAnsi="黑体" w:eastAsia="黑体"/>
                <w:szCs w:val="21"/>
              </w:rPr>
              <w:t>管理</w:t>
            </w:r>
            <w:r>
              <w:rPr>
                <w:rFonts w:hint="eastAsia" w:ascii="黑体" w:hAnsi="黑体" w:eastAsia="黑体"/>
                <w:szCs w:val="21"/>
              </w:rPr>
              <w:t>与</w:t>
            </w:r>
            <w:r>
              <w:rPr>
                <w:rFonts w:ascii="黑体" w:hAnsi="黑体" w:eastAsia="黑体"/>
                <w:szCs w:val="21"/>
              </w:rPr>
              <w:t>监测</w:t>
            </w:r>
            <w:r>
              <w:rPr>
                <w:rFonts w:hint="eastAsia" w:ascii="黑体" w:hAnsi="黑体" w:eastAsia="黑体"/>
                <w:szCs w:val="21"/>
              </w:rPr>
              <w:t>系统</w:t>
            </w:r>
            <w:r>
              <w:rPr>
                <w:rFonts w:ascii="黑体" w:hAnsi="黑体" w:eastAsia="黑体"/>
                <w:szCs w:val="21"/>
              </w:rPr>
              <w:t>。</w:t>
            </w:r>
          </w:p>
        </w:tc>
      </w:tr>
    </w:tbl>
    <w:p>
      <w:pPr>
        <w:pStyle w:val="4"/>
        <w:spacing w:before="0" w:after="0" w:line="500" w:lineRule="exact"/>
        <w:ind w:firstLine="562" w:firstLineChars="200"/>
        <w:rPr>
          <w:sz w:val="28"/>
          <w:szCs w:val="28"/>
        </w:rPr>
      </w:pPr>
      <w:bookmarkStart w:id="30" w:name="_Toc438627732"/>
      <w:bookmarkStart w:id="31" w:name="_Toc533861918"/>
      <w:r>
        <w:rPr>
          <w:rFonts w:hint="eastAsia"/>
          <w:sz w:val="28"/>
          <w:szCs w:val="28"/>
        </w:rPr>
        <w:t>（四）不同</w:t>
      </w:r>
      <w:r>
        <w:rPr>
          <w:sz w:val="28"/>
          <w:szCs w:val="28"/>
        </w:rPr>
        <w:t>性别分布</w:t>
      </w:r>
      <w:bookmarkEnd w:id="30"/>
      <w:bookmarkEnd w:id="31"/>
    </w:p>
    <w:p>
      <w:pPr>
        <w:spacing w:line="440" w:lineRule="exact"/>
        <w:ind w:firstLine="480" w:firstLineChars="200"/>
        <w:rPr>
          <w:rFonts w:ascii="宋体" w:hAnsi="宋体"/>
          <w:sz w:val="24"/>
          <w:szCs w:val="24"/>
        </w:rPr>
      </w:pPr>
      <w:r>
        <w:rPr>
          <w:rFonts w:hint="eastAsia" w:ascii="宋体" w:hAnsi="宋体"/>
          <w:sz w:val="24"/>
          <w:szCs w:val="24"/>
        </w:rPr>
        <w:t>我院</w:t>
      </w:r>
      <w:r>
        <w:rPr>
          <w:rFonts w:ascii="宋体" w:hAnsi="宋体"/>
          <w:sz w:val="24"/>
          <w:szCs w:val="24"/>
        </w:rPr>
        <w:t>2018</w:t>
      </w:r>
      <w:r>
        <w:rPr>
          <w:rFonts w:hint="eastAsia" w:ascii="宋体" w:hAnsi="宋体"/>
          <w:sz w:val="24"/>
          <w:szCs w:val="24"/>
        </w:rPr>
        <w:t>届毕业生平均就业率</w:t>
      </w:r>
      <w:r>
        <w:rPr>
          <w:rFonts w:ascii="宋体" w:hAnsi="宋体"/>
          <w:sz w:val="24"/>
          <w:szCs w:val="24"/>
        </w:rPr>
        <w:t>96.06%</w:t>
      </w:r>
      <w:r>
        <w:rPr>
          <w:rFonts w:hint="eastAsia" w:ascii="宋体" w:hAnsi="宋体"/>
          <w:sz w:val="24"/>
          <w:szCs w:val="24"/>
        </w:rPr>
        <w:t>，男生</w:t>
      </w:r>
      <w:r>
        <w:rPr>
          <w:rFonts w:ascii="宋体" w:hAnsi="宋体"/>
          <w:sz w:val="24"/>
          <w:szCs w:val="24"/>
        </w:rPr>
        <w:t>95.10%</w:t>
      </w:r>
      <w:r>
        <w:rPr>
          <w:rFonts w:hint="eastAsia" w:ascii="宋体" w:hAnsi="宋体"/>
          <w:sz w:val="24"/>
          <w:szCs w:val="24"/>
        </w:rPr>
        <w:t>、女生</w:t>
      </w:r>
      <w:r>
        <w:rPr>
          <w:rFonts w:ascii="宋体" w:hAnsi="宋体"/>
          <w:sz w:val="24"/>
          <w:szCs w:val="24"/>
        </w:rPr>
        <w:t>97.60%</w:t>
      </w:r>
      <w:r>
        <w:rPr>
          <w:rFonts w:hint="eastAsia" w:ascii="宋体" w:hAnsi="宋体"/>
          <w:sz w:val="24"/>
          <w:szCs w:val="24"/>
        </w:rPr>
        <w:t>。其中农林类就业率分别为男生</w:t>
      </w:r>
      <w:r>
        <w:rPr>
          <w:rFonts w:hint="eastAsia" w:ascii="宋体" w:hAnsi="宋体" w:cs="宋体"/>
          <w:kern w:val="0"/>
          <w:sz w:val="24"/>
          <w:szCs w:val="24"/>
        </w:rPr>
        <w:t>94.69%、</w:t>
      </w:r>
      <w:r>
        <w:rPr>
          <w:rFonts w:hint="eastAsia" w:ascii="宋体" w:hAnsi="宋体"/>
          <w:sz w:val="24"/>
          <w:szCs w:val="24"/>
        </w:rPr>
        <w:t>女生</w:t>
      </w:r>
      <w:r>
        <w:rPr>
          <w:rFonts w:hint="eastAsia" w:ascii="宋体" w:hAnsi="宋体" w:cs="宋体"/>
          <w:kern w:val="0"/>
          <w:sz w:val="24"/>
          <w:szCs w:val="24"/>
        </w:rPr>
        <w:t>97.85%，</w:t>
      </w:r>
      <w:r>
        <w:rPr>
          <w:rFonts w:hint="eastAsia" w:ascii="宋体" w:hAnsi="宋体"/>
          <w:sz w:val="24"/>
          <w:szCs w:val="24"/>
        </w:rPr>
        <w:t>工程类就业率分别为男生</w:t>
      </w:r>
      <w:r>
        <w:rPr>
          <w:rFonts w:hint="eastAsia" w:ascii="宋体" w:hAnsi="宋体" w:cs="宋体"/>
          <w:kern w:val="0"/>
          <w:sz w:val="24"/>
          <w:szCs w:val="24"/>
        </w:rPr>
        <w:t>9</w:t>
      </w:r>
      <w:r>
        <w:rPr>
          <w:rFonts w:ascii="宋体" w:hAnsi="宋体" w:cs="宋体"/>
          <w:kern w:val="0"/>
          <w:sz w:val="24"/>
          <w:szCs w:val="24"/>
        </w:rPr>
        <w:t>5</w:t>
      </w:r>
      <w:r>
        <w:rPr>
          <w:rFonts w:hint="eastAsia" w:ascii="宋体" w:hAnsi="宋体" w:cs="宋体"/>
          <w:kern w:val="0"/>
          <w:sz w:val="24"/>
          <w:szCs w:val="24"/>
        </w:rPr>
        <w:t>.</w:t>
      </w:r>
      <w:r>
        <w:rPr>
          <w:rFonts w:ascii="宋体" w:hAnsi="宋体" w:cs="宋体"/>
          <w:kern w:val="0"/>
          <w:sz w:val="24"/>
          <w:szCs w:val="24"/>
        </w:rPr>
        <w:t>18</w:t>
      </w:r>
      <w:r>
        <w:rPr>
          <w:rFonts w:hint="eastAsia" w:ascii="宋体" w:hAnsi="宋体" w:cs="宋体"/>
          <w:kern w:val="0"/>
          <w:sz w:val="24"/>
          <w:szCs w:val="24"/>
        </w:rPr>
        <w:t>%、</w:t>
      </w:r>
      <w:r>
        <w:rPr>
          <w:rFonts w:hint="eastAsia" w:ascii="宋体" w:hAnsi="宋体"/>
          <w:sz w:val="24"/>
          <w:szCs w:val="24"/>
        </w:rPr>
        <w:t>女生</w:t>
      </w:r>
      <w:r>
        <w:rPr>
          <w:rFonts w:hint="eastAsia" w:ascii="宋体" w:hAnsi="宋体" w:cs="宋体"/>
          <w:kern w:val="0"/>
          <w:sz w:val="24"/>
          <w:szCs w:val="24"/>
        </w:rPr>
        <w:t>97.</w:t>
      </w:r>
      <w:r>
        <w:rPr>
          <w:rFonts w:ascii="宋体" w:hAnsi="宋体" w:cs="宋体"/>
          <w:kern w:val="0"/>
          <w:sz w:val="24"/>
          <w:szCs w:val="24"/>
        </w:rPr>
        <w:t>21</w:t>
      </w:r>
      <w:r>
        <w:rPr>
          <w:rFonts w:hint="eastAsia" w:ascii="宋体" w:hAnsi="宋体" w:cs="宋体"/>
          <w:kern w:val="0"/>
          <w:sz w:val="24"/>
          <w:szCs w:val="24"/>
        </w:rPr>
        <w:t>%，</w:t>
      </w:r>
      <w:r>
        <w:rPr>
          <w:rFonts w:hint="eastAsia" w:ascii="宋体" w:hAnsi="宋体"/>
          <w:sz w:val="24"/>
          <w:szCs w:val="24"/>
        </w:rPr>
        <w:t>信息类就业率分别为男生</w:t>
      </w:r>
      <w:r>
        <w:rPr>
          <w:rFonts w:hint="eastAsia" w:ascii="宋体" w:hAnsi="宋体" w:cs="宋体"/>
          <w:kern w:val="0"/>
          <w:sz w:val="24"/>
          <w:szCs w:val="24"/>
        </w:rPr>
        <w:t>9</w:t>
      </w:r>
      <w:r>
        <w:rPr>
          <w:rFonts w:ascii="宋体" w:hAnsi="宋体" w:cs="宋体"/>
          <w:kern w:val="0"/>
          <w:sz w:val="24"/>
          <w:szCs w:val="24"/>
        </w:rPr>
        <w:t>8</w:t>
      </w:r>
      <w:r>
        <w:rPr>
          <w:rFonts w:hint="eastAsia" w:ascii="宋体" w:hAnsi="宋体" w:cs="宋体"/>
          <w:kern w:val="0"/>
          <w:sz w:val="24"/>
          <w:szCs w:val="24"/>
        </w:rPr>
        <w:t>.</w:t>
      </w:r>
      <w:r>
        <w:rPr>
          <w:rFonts w:ascii="宋体" w:hAnsi="宋体" w:cs="宋体"/>
          <w:kern w:val="0"/>
          <w:sz w:val="24"/>
          <w:szCs w:val="24"/>
        </w:rPr>
        <w:t>63</w:t>
      </w:r>
      <w:r>
        <w:rPr>
          <w:rFonts w:hint="eastAsia" w:ascii="宋体" w:hAnsi="宋体" w:cs="宋体"/>
          <w:kern w:val="0"/>
          <w:sz w:val="24"/>
          <w:szCs w:val="24"/>
        </w:rPr>
        <w:t>%、</w:t>
      </w:r>
      <w:r>
        <w:rPr>
          <w:rFonts w:hint="eastAsia" w:ascii="宋体" w:hAnsi="宋体"/>
          <w:sz w:val="24"/>
          <w:szCs w:val="24"/>
        </w:rPr>
        <w:t>女生</w:t>
      </w:r>
      <w:r>
        <w:rPr>
          <w:rFonts w:hint="eastAsia" w:ascii="宋体" w:hAnsi="宋体" w:cs="宋体"/>
          <w:kern w:val="0"/>
          <w:sz w:val="24"/>
          <w:szCs w:val="24"/>
        </w:rPr>
        <w:t>9</w:t>
      </w:r>
      <w:r>
        <w:rPr>
          <w:rFonts w:ascii="宋体" w:hAnsi="宋体" w:cs="宋体"/>
          <w:kern w:val="0"/>
          <w:sz w:val="24"/>
          <w:szCs w:val="24"/>
        </w:rPr>
        <w:t>7.17</w:t>
      </w:r>
      <w:r>
        <w:rPr>
          <w:rFonts w:hint="eastAsia" w:ascii="宋体" w:hAnsi="宋体" w:cs="宋体"/>
          <w:kern w:val="0"/>
          <w:sz w:val="24"/>
          <w:szCs w:val="24"/>
        </w:rPr>
        <w:t>%</w:t>
      </w:r>
      <w:r>
        <w:rPr>
          <w:rFonts w:hint="eastAsia" w:ascii="宋体" w:hAnsi="宋体"/>
          <w:sz w:val="24"/>
          <w:szCs w:val="24"/>
        </w:rPr>
        <w:t>（图</w:t>
      </w:r>
      <w:r>
        <w:rPr>
          <w:rFonts w:ascii="宋体" w:hAnsi="宋体"/>
          <w:sz w:val="24"/>
          <w:szCs w:val="24"/>
        </w:rPr>
        <w:t>1-5</w:t>
      </w:r>
      <w:r>
        <w:rPr>
          <w:rFonts w:hint="eastAsia" w:ascii="宋体" w:hAnsi="宋体"/>
          <w:sz w:val="24"/>
          <w:szCs w:val="24"/>
        </w:rPr>
        <w:t>，图</w:t>
      </w:r>
      <w:r>
        <w:rPr>
          <w:rFonts w:ascii="宋体" w:hAnsi="宋体"/>
          <w:sz w:val="24"/>
          <w:szCs w:val="24"/>
        </w:rPr>
        <w:t>1-9</w:t>
      </w:r>
      <w:r>
        <w:rPr>
          <w:rFonts w:hint="eastAsia" w:ascii="宋体" w:hAnsi="宋体"/>
          <w:sz w:val="24"/>
          <w:szCs w:val="24"/>
        </w:rPr>
        <w:t>）。从整体来看，信息类男、女生就业基本持平，农林类和工程类男生就业略偏低，这与专业性质和行业特点有很大关系。</w:t>
      </w:r>
    </w:p>
    <w:tbl>
      <w:tblPr>
        <w:tblStyle w:val="20"/>
        <w:tblW w:w="90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0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075" w:hRule="atLeast"/>
        </w:trPr>
        <w:tc>
          <w:tcPr>
            <w:tcW w:w="9060" w:type="dxa"/>
          </w:tcPr>
          <w:p>
            <w:pPr>
              <w:spacing w:line="80" w:lineRule="exact"/>
              <w:rPr>
                <w:rFonts w:ascii="宋体" w:hAnsi="宋体"/>
                <w:sz w:val="24"/>
                <w:szCs w:val="24"/>
              </w:rPr>
            </w:pPr>
            <w:r>
              <w:rPr>
                <w:rFonts w:ascii="Times New Roman" w:hAnsi="Times New Roman"/>
              </w:rPr>
              <w:drawing>
                <wp:anchor distT="0" distB="0" distL="114300" distR="114300" simplePos="0" relativeHeight="251701248" behindDoc="0" locked="0" layoutInCell="1" allowOverlap="1">
                  <wp:simplePos x="0" y="0"/>
                  <wp:positionH relativeFrom="column">
                    <wp:posOffset>92710</wp:posOffset>
                  </wp:positionH>
                  <wp:positionV relativeFrom="paragraph">
                    <wp:posOffset>73025</wp:posOffset>
                  </wp:positionV>
                  <wp:extent cx="5438140" cy="3018790"/>
                  <wp:effectExtent l="0" t="0" r="10160" b="10160"/>
                  <wp:wrapTopAndBottom/>
                  <wp:docPr id="10" name="对象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exact"/>
        </w:trPr>
        <w:tc>
          <w:tcPr>
            <w:tcW w:w="9060" w:type="dxa"/>
            <w:vAlign w:val="center"/>
          </w:tcPr>
          <w:p>
            <w:pPr>
              <w:tabs>
                <w:tab w:val="center" w:pos="4422"/>
                <w:tab w:val="left" w:pos="6073"/>
              </w:tabs>
              <w:jc w:val="center"/>
              <w:rPr>
                <w:rFonts w:ascii="宋体" w:hAnsi="宋体"/>
                <w:sz w:val="24"/>
                <w:szCs w:val="24"/>
              </w:rPr>
            </w:pPr>
            <w:r>
              <w:rPr>
                <w:rFonts w:hint="eastAsia" w:asciiTheme="minorEastAsia" w:hAnsiTheme="minorEastAsia" w:eastAsiaTheme="minorEastAsia"/>
                <w:b/>
                <w:szCs w:val="21"/>
              </w:rPr>
              <w:t>图</w:t>
            </w:r>
            <w:r>
              <w:rPr>
                <w:rFonts w:asciiTheme="minorEastAsia" w:hAnsiTheme="minorEastAsia" w:eastAsiaTheme="minorEastAsia"/>
                <w:b/>
                <w:szCs w:val="21"/>
              </w:rPr>
              <w:t xml:space="preserve">1-9  </w:t>
            </w:r>
            <w:r>
              <w:rPr>
                <w:rFonts w:hint="eastAsia" w:asciiTheme="minorEastAsia" w:hAnsiTheme="minorEastAsia" w:eastAsiaTheme="minorEastAsia"/>
                <w:b/>
                <w:szCs w:val="21"/>
              </w:rPr>
              <w:t>2</w:t>
            </w:r>
            <w:r>
              <w:rPr>
                <w:rFonts w:asciiTheme="minorEastAsia" w:hAnsiTheme="minorEastAsia" w:eastAsiaTheme="minorEastAsia"/>
                <w:b/>
                <w:szCs w:val="21"/>
              </w:rPr>
              <w:t>018</w:t>
            </w:r>
            <w:r>
              <w:rPr>
                <w:rFonts w:hint="eastAsia" w:asciiTheme="minorEastAsia" w:hAnsiTheme="minorEastAsia" w:eastAsiaTheme="minorEastAsia"/>
                <w:b/>
                <w:szCs w:val="21"/>
              </w:rPr>
              <w:t>届</w:t>
            </w:r>
            <w:r>
              <w:rPr>
                <w:rFonts w:asciiTheme="minorEastAsia" w:hAnsiTheme="minorEastAsia" w:eastAsiaTheme="minorEastAsia"/>
                <w:b/>
                <w:szCs w:val="21"/>
              </w:rPr>
              <w:t>毕业生不同性别</w:t>
            </w:r>
            <w:r>
              <w:rPr>
                <w:rFonts w:hint="eastAsia" w:asciiTheme="minorEastAsia" w:hAnsiTheme="minorEastAsia" w:eastAsiaTheme="minorEastAsia"/>
                <w:b/>
                <w:szCs w:val="21"/>
              </w:rPr>
              <w:t>就业</w:t>
            </w:r>
            <w:r>
              <w:rPr>
                <w:rFonts w:asciiTheme="minorEastAsia" w:hAnsiTheme="minorEastAsia" w:eastAsiaTheme="minorEastAsia"/>
                <w:b/>
                <w:szCs w:val="21"/>
              </w:rPr>
              <w:t>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trPr>
        <w:tc>
          <w:tcPr>
            <w:tcW w:w="9060" w:type="dxa"/>
            <w:vAlign w:val="center"/>
          </w:tcPr>
          <w:p>
            <w:pPr>
              <w:tabs>
                <w:tab w:val="center" w:pos="4422"/>
                <w:tab w:val="left" w:pos="6073"/>
              </w:tabs>
              <w:jc w:val="left"/>
              <w:rPr>
                <w:rFonts w:asciiTheme="minorEastAsia" w:hAnsiTheme="minorEastAsia" w:eastAsiaTheme="minorEastAsia"/>
                <w:b/>
                <w:szCs w:val="21"/>
              </w:rPr>
            </w:pPr>
            <w:r>
              <w:rPr>
                <w:rFonts w:hint="eastAsia" w:ascii="黑体" w:hAnsi="黑体" w:eastAsia="黑体"/>
                <w:szCs w:val="21"/>
              </w:rPr>
              <w:t>注：数据来源于全国</w:t>
            </w:r>
            <w:r>
              <w:rPr>
                <w:rFonts w:ascii="黑体" w:hAnsi="黑体" w:eastAsia="黑体"/>
                <w:szCs w:val="21"/>
              </w:rPr>
              <w:t>高校毕业生</w:t>
            </w:r>
            <w:r>
              <w:rPr>
                <w:rFonts w:hint="eastAsia" w:ascii="黑体" w:hAnsi="黑体" w:eastAsia="黑体"/>
                <w:szCs w:val="21"/>
              </w:rPr>
              <w:t>就业</w:t>
            </w:r>
            <w:r>
              <w:rPr>
                <w:rFonts w:ascii="黑体" w:hAnsi="黑体" w:eastAsia="黑体"/>
                <w:szCs w:val="21"/>
              </w:rPr>
              <w:t>管理</w:t>
            </w:r>
            <w:r>
              <w:rPr>
                <w:rFonts w:hint="eastAsia" w:ascii="黑体" w:hAnsi="黑体" w:eastAsia="黑体"/>
                <w:szCs w:val="21"/>
              </w:rPr>
              <w:t>与</w:t>
            </w:r>
            <w:r>
              <w:rPr>
                <w:rFonts w:ascii="黑体" w:hAnsi="黑体" w:eastAsia="黑体"/>
                <w:szCs w:val="21"/>
              </w:rPr>
              <w:t>监测</w:t>
            </w:r>
            <w:r>
              <w:rPr>
                <w:rFonts w:hint="eastAsia" w:ascii="黑体" w:hAnsi="黑体" w:eastAsia="黑体"/>
                <w:szCs w:val="21"/>
              </w:rPr>
              <w:t>系统</w:t>
            </w:r>
            <w:r>
              <w:rPr>
                <w:rFonts w:ascii="黑体" w:hAnsi="黑体" w:eastAsia="黑体"/>
                <w:szCs w:val="21"/>
              </w:rPr>
              <w:t>。</w:t>
            </w:r>
          </w:p>
        </w:tc>
      </w:tr>
    </w:tbl>
    <w:p>
      <w:pPr>
        <w:pStyle w:val="4"/>
        <w:spacing w:before="0" w:after="0" w:line="500" w:lineRule="exact"/>
        <w:ind w:firstLine="562" w:firstLineChars="200"/>
        <w:rPr>
          <w:sz w:val="28"/>
          <w:szCs w:val="28"/>
        </w:rPr>
      </w:pPr>
      <w:bookmarkStart w:id="32" w:name="_Toc438627733"/>
      <w:bookmarkStart w:id="33" w:name="_Toc533861919"/>
      <w:r>
        <w:rPr>
          <w:rFonts w:hint="eastAsia"/>
          <w:sz w:val="28"/>
          <w:szCs w:val="28"/>
        </w:rPr>
        <w:t>（五）不同民族</w:t>
      </w:r>
      <w:bookmarkEnd w:id="32"/>
      <w:r>
        <w:rPr>
          <w:rFonts w:hint="eastAsia"/>
          <w:sz w:val="28"/>
          <w:szCs w:val="28"/>
        </w:rPr>
        <w:t>分布</w:t>
      </w:r>
      <w:bookmarkEnd w:id="33"/>
    </w:p>
    <w:tbl>
      <w:tblPr>
        <w:tblStyle w:val="20"/>
        <w:tblW w:w="918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1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80" w:hRule="atLeast"/>
        </w:trPr>
        <w:tc>
          <w:tcPr>
            <w:tcW w:w="9186" w:type="dxa"/>
          </w:tcPr>
          <w:p>
            <w:pPr>
              <w:spacing w:line="80" w:lineRule="exact"/>
              <w:rPr>
                <w:rFonts w:ascii="Times New Roman" w:hAnsi="Times New Roman"/>
              </w:rPr>
            </w:pPr>
            <w:r>
              <w:rPr>
                <w:rFonts w:ascii="Times New Roman" w:hAnsi="Times New Roman"/>
              </w:rPr>
              <w:drawing>
                <wp:anchor distT="0" distB="0" distL="114300" distR="114300" simplePos="0" relativeHeight="251703296" behindDoc="0" locked="0" layoutInCell="1" allowOverlap="1">
                  <wp:simplePos x="0" y="0"/>
                  <wp:positionH relativeFrom="margin">
                    <wp:posOffset>-41910</wp:posOffset>
                  </wp:positionH>
                  <wp:positionV relativeFrom="paragraph">
                    <wp:posOffset>52705</wp:posOffset>
                  </wp:positionV>
                  <wp:extent cx="5692775" cy="2710815"/>
                  <wp:effectExtent l="0" t="0" r="3175" b="13335"/>
                  <wp:wrapTopAndBottom/>
                  <wp:docPr id="11" name="对象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exact"/>
        </w:trPr>
        <w:tc>
          <w:tcPr>
            <w:tcW w:w="9186" w:type="dxa"/>
            <w:vAlign w:val="center"/>
          </w:tcPr>
          <w:p>
            <w:pPr>
              <w:ind w:firstLine="422" w:firstLineChars="200"/>
              <w:jc w:val="center"/>
              <w:rPr>
                <w:rFonts w:ascii="Times New Roman" w:hAnsi="Times New Roman"/>
              </w:rPr>
            </w:pPr>
            <w:r>
              <w:rPr>
                <w:rFonts w:hint="eastAsia" w:asciiTheme="minorEastAsia" w:hAnsiTheme="minorEastAsia" w:eastAsiaTheme="minorEastAsia"/>
                <w:b/>
                <w:szCs w:val="21"/>
              </w:rPr>
              <w:t>图</w:t>
            </w:r>
            <w:r>
              <w:rPr>
                <w:rFonts w:asciiTheme="minorEastAsia" w:hAnsiTheme="minorEastAsia" w:eastAsiaTheme="minorEastAsia"/>
                <w:b/>
                <w:szCs w:val="21"/>
              </w:rPr>
              <w:t>1-10  2018</w:t>
            </w:r>
            <w:r>
              <w:rPr>
                <w:rFonts w:hint="eastAsia" w:asciiTheme="minorEastAsia" w:hAnsiTheme="minorEastAsia" w:eastAsiaTheme="minorEastAsia"/>
                <w:b/>
                <w:szCs w:val="21"/>
              </w:rPr>
              <w:t>届</w:t>
            </w:r>
            <w:r>
              <w:rPr>
                <w:rFonts w:asciiTheme="minorEastAsia" w:hAnsiTheme="minorEastAsia" w:eastAsiaTheme="minorEastAsia"/>
                <w:b/>
                <w:szCs w:val="21"/>
              </w:rPr>
              <w:t>毕业生</w:t>
            </w:r>
            <w:r>
              <w:rPr>
                <w:rFonts w:hint="eastAsia" w:asciiTheme="minorEastAsia" w:hAnsiTheme="minorEastAsia" w:eastAsiaTheme="minorEastAsia"/>
                <w:b/>
                <w:szCs w:val="21"/>
              </w:rPr>
              <w:t>不同民</w:t>
            </w:r>
            <w:r>
              <w:rPr>
                <w:rFonts w:hint="eastAsia" w:ascii="Times New Roman" w:hAnsi="Times New Roman"/>
                <w:b/>
                <w:szCs w:val="21"/>
              </w:rPr>
              <w:t>族就业率分布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exact"/>
        </w:trPr>
        <w:tc>
          <w:tcPr>
            <w:tcW w:w="9186" w:type="dxa"/>
            <w:vAlign w:val="center"/>
          </w:tcPr>
          <w:p>
            <w:pPr>
              <w:ind w:firstLine="420" w:firstLineChars="200"/>
              <w:jc w:val="left"/>
              <w:rPr>
                <w:rFonts w:asciiTheme="minorEastAsia" w:hAnsiTheme="minorEastAsia" w:eastAsiaTheme="minorEastAsia"/>
                <w:b/>
                <w:szCs w:val="21"/>
              </w:rPr>
            </w:pPr>
            <w:r>
              <w:rPr>
                <w:rFonts w:hint="eastAsia" w:ascii="黑体" w:hAnsi="黑体" w:eastAsia="黑体"/>
                <w:szCs w:val="21"/>
              </w:rPr>
              <w:t>注：数据来源于全国</w:t>
            </w:r>
            <w:r>
              <w:rPr>
                <w:rFonts w:ascii="黑体" w:hAnsi="黑体" w:eastAsia="黑体"/>
                <w:szCs w:val="21"/>
              </w:rPr>
              <w:t>高校毕业生</w:t>
            </w:r>
            <w:r>
              <w:rPr>
                <w:rFonts w:hint="eastAsia" w:ascii="黑体" w:hAnsi="黑体" w:eastAsia="黑体"/>
                <w:szCs w:val="21"/>
              </w:rPr>
              <w:t>就业</w:t>
            </w:r>
            <w:r>
              <w:rPr>
                <w:rFonts w:ascii="黑体" w:hAnsi="黑体" w:eastAsia="黑体"/>
                <w:szCs w:val="21"/>
              </w:rPr>
              <w:t>管理</w:t>
            </w:r>
            <w:r>
              <w:rPr>
                <w:rFonts w:hint="eastAsia" w:ascii="黑体" w:hAnsi="黑体" w:eastAsia="黑体"/>
                <w:szCs w:val="21"/>
              </w:rPr>
              <w:t>与</w:t>
            </w:r>
            <w:r>
              <w:rPr>
                <w:rFonts w:ascii="黑体" w:hAnsi="黑体" w:eastAsia="黑体"/>
                <w:szCs w:val="21"/>
              </w:rPr>
              <w:t>监测</w:t>
            </w:r>
            <w:r>
              <w:rPr>
                <w:rFonts w:hint="eastAsia" w:ascii="黑体" w:hAnsi="黑体" w:eastAsia="黑体"/>
                <w:szCs w:val="21"/>
              </w:rPr>
              <w:t>系统</w:t>
            </w:r>
            <w:r>
              <w:rPr>
                <w:rFonts w:ascii="黑体" w:hAnsi="黑体" w:eastAsia="黑体"/>
                <w:szCs w:val="21"/>
              </w:rPr>
              <w:t>。</w:t>
            </w:r>
          </w:p>
        </w:tc>
      </w:tr>
    </w:tbl>
    <w:p>
      <w:pPr>
        <w:spacing w:line="500" w:lineRule="exact"/>
        <w:ind w:firstLine="480" w:firstLineChars="200"/>
        <w:rPr>
          <w:rFonts w:ascii="宋体" w:hAnsi="宋体"/>
          <w:sz w:val="24"/>
          <w:szCs w:val="24"/>
        </w:rPr>
      </w:pPr>
      <w:r>
        <w:rPr>
          <w:rFonts w:hint="eastAsia" w:ascii="宋体" w:hAnsi="宋体"/>
          <w:sz w:val="24"/>
          <w:szCs w:val="24"/>
        </w:rPr>
        <w:t>我院生源中藏族、回族、东乡族等少数民族毕业生所占比例较大，而少数民族毕业生由于受民族传统、风俗习惯、宗教信仰等诸多因素限制，异地就业成功率低，属就业困难群体。学校采取了多项帮扶措施，但其就业率仍显著低于汉族毕业生，且低于平均水平（图</w:t>
      </w:r>
      <w:r>
        <w:rPr>
          <w:rFonts w:ascii="宋体" w:hAnsi="宋体"/>
          <w:sz w:val="24"/>
          <w:szCs w:val="24"/>
        </w:rPr>
        <w:t>1-10</w:t>
      </w:r>
      <w:r>
        <w:rPr>
          <w:rFonts w:hint="eastAsia" w:ascii="宋体" w:hAnsi="宋体"/>
          <w:sz w:val="24"/>
          <w:szCs w:val="24"/>
        </w:rPr>
        <w:t>）。</w:t>
      </w:r>
    </w:p>
    <w:p>
      <w:pPr>
        <w:pStyle w:val="4"/>
        <w:spacing w:before="0" w:after="0" w:line="500" w:lineRule="exact"/>
        <w:ind w:firstLine="562" w:firstLineChars="200"/>
        <w:rPr>
          <w:sz w:val="28"/>
          <w:szCs w:val="28"/>
        </w:rPr>
      </w:pPr>
      <w:bookmarkStart w:id="34" w:name="_Toc533861920"/>
      <w:bookmarkStart w:id="35" w:name="_Toc438627734"/>
      <w:r>
        <w:rPr>
          <w:rFonts w:hint="eastAsia"/>
          <w:sz w:val="28"/>
          <w:szCs w:val="28"/>
        </w:rPr>
        <w:t>（六）国家、地方基层就业服务项目促进毕业生就业</w:t>
      </w:r>
      <w:bookmarkEnd w:id="34"/>
      <w:bookmarkEnd w:id="35"/>
    </w:p>
    <w:p>
      <w:pPr>
        <w:spacing w:line="480" w:lineRule="exact"/>
        <w:ind w:firstLine="480" w:firstLineChars="200"/>
        <w:rPr>
          <w:rFonts w:ascii="宋体" w:hAnsi="宋体"/>
          <w:sz w:val="24"/>
          <w:szCs w:val="24"/>
        </w:rPr>
      </w:pPr>
      <w:r>
        <w:rPr>
          <w:rFonts w:hint="eastAsia" w:ascii="宋体" w:hAnsi="宋体"/>
          <w:sz w:val="24"/>
          <w:szCs w:val="24"/>
        </w:rPr>
        <w:t>我院</w:t>
      </w:r>
      <w:r>
        <w:rPr>
          <w:rFonts w:ascii="宋体" w:hAnsi="宋体"/>
          <w:sz w:val="24"/>
          <w:szCs w:val="24"/>
        </w:rPr>
        <w:t>2018</w:t>
      </w:r>
      <w:r>
        <w:rPr>
          <w:rFonts w:hint="eastAsia" w:ascii="宋体" w:hAnsi="宋体"/>
          <w:sz w:val="24"/>
          <w:szCs w:val="24"/>
        </w:rPr>
        <w:t>届毕业生在参加国家、地方基层就业服务项目招考中招录人数总计</w:t>
      </w:r>
      <w:r>
        <w:rPr>
          <w:rFonts w:ascii="宋体" w:hAnsi="宋体"/>
          <w:sz w:val="24"/>
          <w:szCs w:val="24"/>
        </w:rPr>
        <w:t>56</w:t>
      </w:r>
      <w:r>
        <w:rPr>
          <w:rFonts w:hint="eastAsia" w:ascii="宋体" w:hAnsi="宋体"/>
          <w:sz w:val="24"/>
          <w:szCs w:val="24"/>
        </w:rPr>
        <w:t>人，其中包括</w:t>
      </w:r>
      <w:r>
        <w:rPr>
          <w:rFonts w:ascii="宋体" w:hAnsi="宋体"/>
          <w:sz w:val="24"/>
          <w:szCs w:val="24"/>
        </w:rPr>
        <w:t xml:space="preserve"> </w:t>
      </w:r>
      <w:r>
        <w:rPr>
          <w:rFonts w:hint="eastAsia" w:ascii="宋体" w:hAnsi="宋体"/>
          <w:sz w:val="24"/>
          <w:szCs w:val="24"/>
        </w:rPr>
        <w:t>“三支一扶”</w:t>
      </w:r>
      <w:r>
        <w:rPr>
          <w:rFonts w:ascii="宋体" w:hAnsi="宋体"/>
          <w:sz w:val="24"/>
          <w:szCs w:val="24"/>
        </w:rPr>
        <w:t>32</w:t>
      </w:r>
      <w:r>
        <w:rPr>
          <w:rFonts w:hint="eastAsia" w:ascii="宋体" w:hAnsi="宋体"/>
          <w:sz w:val="24"/>
          <w:szCs w:val="24"/>
        </w:rPr>
        <w:t>人，“西部计划”</w:t>
      </w:r>
      <w:r>
        <w:rPr>
          <w:rFonts w:ascii="宋体" w:hAnsi="宋体"/>
          <w:sz w:val="24"/>
          <w:szCs w:val="24"/>
        </w:rPr>
        <w:t>14</w:t>
      </w:r>
      <w:r>
        <w:rPr>
          <w:rFonts w:hint="eastAsia" w:ascii="宋体" w:hAnsi="宋体"/>
          <w:sz w:val="24"/>
          <w:szCs w:val="24"/>
        </w:rPr>
        <w:t>人，“大学生村官”</w:t>
      </w:r>
      <w:r>
        <w:rPr>
          <w:rFonts w:ascii="宋体" w:hAnsi="宋体"/>
          <w:sz w:val="24"/>
          <w:szCs w:val="24"/>
        </w:rPr>
        <w:t>10</w:t>
      </w:r>
      <w:r>
        <w:rPr>
          <w:rFonts w:hint="eastAsia" w:ascii="宋体" w:hAnsi="宋体"/>
          <w:sz w:val="24"/>
          <w:szCs w:val="24"/>
        </w:rPr>
        <w:t>人（图</w:t>
      </w:r>
      <w:r>
        <w:rPr>
          <w:rFonts w:ascii="宋体" w:hAnsi="宋体"/>
          <w:sz w:val="24"/>
          <w:szCs w:val="24"/>
        </w:rPr>
        <w:t>1-11</w:t>
      </w:r>
      <w:r>
        <w:rPr>
          <w:rFonts w:hint="eastAsia" w:ascii="宋体" w:hAnsi="宋体"/>
          <w:sz w:val="24"/>
          <w:szCs w:val="24"/>
        </w:rPr>
        <w:t>）。近</w:t>
      </w:r>
      <w:r>
        <w:rPr>
          <w:rFonts w:ascii="宋体" w:hAnsi="宋体"/>
          <w:sz w:val="24"/>
          <w:szCs w:val="24"/>
        </w:rPr>
        <w:t>5</w:t>
      </w:r>
      <w:r>
        <w:rPr>
          <w:rFonts w:hint="eastAsia" w:ascii="宋体" w:hAnsi="宋体"/>
          <w:sz w:val="24"/>
          <w:szCs w:val="24"/>
        </w:rPr>
        <w:t>年，国家和省上出台了一系列高校毕业生就业帮扶政策，如“大学生志愿服务西部计划”、“甘肃省民生实事项目及三个基层服务计划”等。我院毕业生对此积极性很高，每年报名参加考试人数超过毕业生总数的</w:t>
      </w:r>
      <w:r>
        <w:rPr>
          <w:rFonts w:ascii="宋体" w:hAnsi="宋体"/>
          <w:sz w:val="24"/>
          <w:szCs w:val="24"/>
        </w:rPr>
        <w:t>80%</w:t>
      </w:r>
      <w:r>
        <w:rPr>
          <w:rFonts w:hint="eastAsia" w:ascii="宋体" w:hAnsi="宋体"/>
          <w:sz w:val="24"/>
          <w:szCs w:val="24"/>
        </w:rPr>
        <w:t>。这一系列就业服务项目对促进高校毕业生就业起到了重要的助推作用，也引起社会的广泛关注。但也不容忽视，就业帮扶政策在一定程度上也影响到了毕业生及家长的就业观念及毕业生的自身定位，甚至部分毕业生会出现有业不就、离岗辞职而紧盯就业服务项目不放的情况。因此，在很大程度上也影响到了初次就业率。</w:t>
      </w:r>
    </w:p>
    <w:tbl>
      <w:tblPr>
        <w:tblStyle w:val="20"/>
        <w:tblW w:w="90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0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26" w:hRule="atLeast"/>
        </w:trPr>
        <w:tc>
          <w:tcPr>
            <w:tcW w:w="9060" w:type="dxa"/>
          </w:tcPr>
          <w:p>
            <w:pPr>
              <w:spacing w:line="80" w:lineRule="exact"/>
              <w:rPr>
                <w:rFonts w:ascii="宋体" w:hAnsi="宋体"/>
                <w:sz w:val="24"/>
                <w:szCs w:val="24"/>
              </w:rPr>
            </w:pPr>
            <w:r>
              <w:rPr>
                <w:rFonts w:ascii="Times New Roman" w:hAnsi="Times New Roman"/>
              </w:rPr>
              <w:drawing>
                <wp:anchor distT="0" distB="0" distL="114300" distR="114300" simplePos="0" relativeHeight="251705344" behindDoc="0" locked="0" layoutInCell="1" allowOverlap="1">
                  <wp:simplePos x="0" y="0"/>
                  <wp:positionH relativeFrom="column">
                    <wp:posOffset>227965</wp:posOffset>
                  </wp:positionH>
                  <wp:positionV relativeFrom="paragraph">
                    <wp:posOffset>150495</wp:posOffset>
                  </wp:positionV>
                  <wp:extent cx="5128260" cy="3021330"/>
                  <wp:effectExtent l="0" t="0" r="15240" b="26670"/>
                  <wp:wrapTopAndBottom/>
                  <wp:docPr id="4" name="对象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7" w:hRule="exact"/>
        </w:trPr>
        <w:tc>
          <w:tcPr>
            <w:tcW w:w="9060" w:type="dxa"/>
            <w:vAlign w:val="center"/>
          </w:tcPr>
          <w:p>
            <w:pPr>
              <w:jc w:val="center"/>
              <w:rPr>
                <w:rFonts w:ascii="宋体" w:hAnsi="宋体"/>
                <w:sz w:val="24"/>
                <w:szCs w:val="24"/>
              </w:rPr>
            </w:pPr>
            <w:r>
              <w:rPr>
                <w:rFonts w:hint="eastAsia" w:asciiTheme="minorEastAsia" w:hAnsiTheme="minorEastAsia" w:eastAsiaTheme="minorEastAsia"/>
                <w:b/>
                <w:szCs w:val="21"/>
              </w:rPr>
              <w:t>图</w:t>
            </w:r>
            <w:r>
              <w:rPr>
                <w:rFonts w:asciiTheme="minorEastAsia" w:hAnsiTheme="minorEastAsia" w:eastAsiaTheme="minorEastAsia"/>
                <w:b/>
                <w:szCs w:val="21"/>
              </w:rPr>
              <w:t xml:space="preserve">1-11  </w:t>
            </w:r>
            <w:r>
              <w:rPr>
                <w:rFonts w:hint="eastAsia" w:asciiTheme="minorEastAsia" w:hAnsiTheme="minorEastAsia" w:eastAsiaTheme="minorEastAsia"/>
                <w:b/>
                <w:szCs w:val="21"/>
              </w:rPr>
              <w:t>国家、地方基层就业</w:t>
            </w:r>
            <w:r>
              <w:rPr>
                <w:rFonts w:hint="eastAsia" w:ascii="Times New Roman" w:hAnsi="Times New Roman"/>
                <w:b/>
                <w:szCs w:val="21"/>
              </w:rPr>
              <w:t>服务项目招录人数</w:t>
            </w:r>
          </w:p>
        </w:tc>
      </w:tr>
    </w:tbl>
    <w:p>
      <w:pPr>
        <w:pStyle w:val="4"/>
        <w:spacing w:before="0" w:after="0" w:line="500" w:lineRule="exact"/>
        <w:ind w:firstLine="562" w:firstLineChars="200"/>
        <w:rPr>
          <w:sz w:val="28"/>
          <w:szCs w:val="28"/>
        </w:rPr>
      </w:pPr>
      <w:bookmarkStart w:id="36" w:name="_Toc533861921"/>
      <w:bookmarkStart w:id="37" w:name="_Toc438627735"/>
      <w:r>
        <w:rPr>
          <w:rFonts w:hint="eastAsia"/>
          <w:sz w:val="28"/>
          <w:szCs w:val="28"/>
        </w:rPr>
        <w:t>（七）毕业生自主创业情况</w:t>
      </w:r>
      <w:bookmarkEnd w:id="36"/>
      <w:bookmarkEnd w:id="37"/>
    </w:p>
    <w:p>
      <w:pPr>
        <w:spacing w:line="460" w:lineRule="exact"/>
        <w:ind w:firstLine="480" w:firstLineChars="200"/>
        <w:rPr>
          <w:rFonts w:ascii="宋体" w:hAnsi="宋体"/>
          <w:sz w:val="24"/>
          <w:szCs w:val="24"/>
        </w:rPr>
      </w:pPr>
      <w:r>
        <w:rPr>
          <w:rFonts w:hint="eastAsia" w:ascii="宋体" w:hAnsi="宋体"/>
          <w:sz w:val="24"/>
          <w:szCs w:val="24"/>
        </w:rPr>
        <w:t>从事自主创业人数共</w:t>
      </w:r>
      <w:r>
        <w:rPr>
          <w:rFonts w:ascii="宋体" w:hAnsi="宋体"/>
          <w:sz w:val="24"/>
          <w:szCs w:val="24"/>
        </w:rPr>
        <w:t>18</w:t>
      </w:r>
      <w:r>
        <w:rPr>
          <w:rFonts w:hint="eastAsia" w:ascii="宋体" w:hAnsi="宋体"/>
          <w:sz w:val="24"/>
          <w:szCs w:val="24"/>
        </w:rPr>
        <w:t>人。畜牧兽医类专业毕业生自主创业人数</w:t>
      </w:r>
      <w:r>
        <w:rPr>
          <w:rFonts w:ascii="宋体" w:hAnsi="宋体"/>
          <w:sz w:val="24"/>
          <w:szCs w:val="24"/>
        </w:rPr>
        <w:t>8</w:t>
      </w:r>
      <w:r>
        <w:rPr>
          <w:rFonts w:hint="eastAsia" w:ascii="宋体" w:hAnsi="宋体"/>
          <w:sz w:val="24"/>
          <w:szCs w:val="24"/>
        </w:rPr>
        <w:t>人、机械制造与自动化6人</w:t>
      </w:r>
      <w:r>
        <w:rPr>
          <w:rFonts w:ascii="宋体" w:hAnsi="宋体"/>
          <w:sz w:val="24"/>
          <w:szCs w:val="24"/>
        </w:rPr>
        <w:t>，电子自动化技术</w:t>
      </w:r>
      <w:r>
        <w:rPr>
          <w:rFonts w:hint="eastAsia" w:ascii="宋体" w:hAnsi="宋体"/>
          <w:sz w:val="24"/>
          <w:szCs w:val="24"/>
        </w:rPr>
        <w:t>4人。其中有</w:t>
      </w:r>
      <w:r>
        <w:rPr>
          <w:rFonts w:ascii="宋体" w:hAnsi="宋体"/>
          <w:sz w:val="24"/>
          <w:szCs w:val="24"/>
        </w:rPr>
        <w:t>5</w:t>
      </w:r>
      <w:r>
        <w:rPr>
          <w:rFonts w:hint="eastAsia" w:ascii="宋体" w:hAnsi="宋体"/>
          <w:sz w:val="24"/>
          <w:szCs w:val="24"/>
        </w:rPr>
        <w:t>人从事动物疫病诊疗工作，并获取了执业兽医资格证、注册办理了个人企业资质；</w:t>
      </w:r>
      <w:r>
        <w:rPr>
          <w:rFonts w:ascii="宋体" w:hAnsi="宋体"/>
          <w:sz w:val="24"/>
          <w:szCs w:val="24"/>
        </w:rPr>
        <w:t>4</w:t>
      </w:r>
      <w:r>
        <w:rPr>
          <w:rFonts w:hint="eastAsia" w:ascii="宋体" w:hAnsi="宋体"/>
          <w:sz w:val="24"/>
          <w:szCs w:val="24"/>
        </w:rPr>
        <w:t>人从事兽医、饲料经销活动，也创办了个人公司。自</w:t>
      </w:r>
      <w:r>
        <w:rPr>
          <w:rFonts w:ascii="宋体" w:hAnsi="宋体"/>
          <w:sz w:val="24"/>
          <w:szCs w:val="24"/>
        </w:rPr>
        <w:t>2012</w:t>
      </w:r>
      <w:r>
        <w:rPr>
          <w:rFonts w:hint="eastAsia" w:ascii="宋体" w:hAnsi="宋体"/>
          <w:sz w:val="24"/>
          <w:szCs w:val="24"/>
        </w:rPr>
        <w:t>年以来，国家高度重视创业工作，号召“大众创业，万众创新”、“以创业带动就业”，同时也出台了一系列有关高校毕业生就业创业相关的优惠政策。这是一个千载难逢的机遇。然而，我院毕业生创业工作才刚刚起步，制度和场地建设还不够完善，人员配备也不齐整、不够专业，创业服务体系也不健全。因此，鼓励和引导毕业生创业工作做得还不够，目前还没形成良好的创业氛围，从事创业的毕业生数量也很低。</w:t>
      </w:r>
    </w:p>
    <w:p>
      <w:pPr>
        <w:spacing w:line="460" w:lineRule="exact"/>
        <w:ind w:firstLine="480" w:firstLineChars="200"/>
        <w:rPr>
          <w:rFonts w:ascii="宋体" w:hAnsi="宋体"/>
          <w:sz w:val="24"/>
          <w:szCs w:val="24"/>
        </w:rPr>
      </w:pPr>
    </w:p>
    <w:p>
      <w:pPr>
        <w:spacing w:line="460" w:lineRule="exact"/>
        <w:ind w:firstLine="480" w:firstLineChars="200"/>
        <w:rPr>
          <w:rFonts w:ascii="宋体" w:hAnsi="宋体"/>
          <w:sz w:val="24"/>
          <w:szCs w:val="24"/>
        </w:rPr>
      </w:pPr>
    </w:p>
    <w:p>
      <w:pPr>
        <w:spacing w:line="460" w:lineRule="exact"/>
        <w:ind w:firstLine="480" w:firstLineChars="200"/>
        <w:rPr>
          <w:rFonts w:ascii="宋体" w:hAnsi="宋体"/>
          <w:sz w:val="24"/>
          <w:szCs w:val="24"/>
        </w:rPr>
      </w:pPr>
    </w:p>
    <w:p>
      <w:pPr>
        <w:spacing w:line="460" w:lineRule="exact"/>
        <w:ind w:firstLine="480" w:firstLineChars="200"/>
        <w:rPr>
          <w:rFonts w:ascii="宋体" w:hAnsi="宋体"/>
          <w:sz w:val="24"/>
          <w:szCs w:val="24"/>
        </w:rPr>
      </w:pPr>
    </w:p>
    <w:p>
      <w:pPr>
        <w:spacing w:line="460" w:lineRule="exact"/>
        <w:ind w:firstLine="480" w:firstLineChars="200"/>
        <w:rPr>
          <w:rFonts w:ascii="宋体" w:hAnsi="宋体"/>
          <w:sz w:val="24"/>
          <w:szCs w:val="24"/>
        </w:rPr>
      </w:pPr>
    </w:p>
    <w:p>
      <w:pPr>
        <w:spacing w:line="460" w:lineRule="exact"/>
        <w:ind w:firstLine="480" w:firstLineChars="200"/>
        <w:rPr>
          <w:rFonts w:ascii="宋体" w:hAnsi="宋体"/>
          <w:sz w:val="24"/>
          <w:szCs w:val="24"/>
        </w:rPr>
      </w:pPr>
    </w:p>
    <w:p>
      <w:pPr>
        <w:spacing w:line="460" w:lineRule="exact"/>
        <w:ind w:firstLine="480" w:firstLineChars="200"/>
        <w:rPr>
          <w:rFonts w:ascii="宋体" w:hAnsi="宋体"/>
          <w:sz w:val="24"/>
          <w:szCs w:val="24"/>
        </w:rPr>
      </w:pPr>
    </w:p>
    <w:p>
      <w:pPr>
        <w:spacing w:line="460" w:lineRule="exact"/>
        <w:ind w:firstLine="480" w:firstLineChars="200"/>
        <w:rPr>
          <w:rFonts w:ascii="宋体" w:hAnsi="宋体"/>
          <w:sz w:val="24"/>
          <w:szCs w:val="24"/>
        </w:rPr>
      </w:pPr>
    </w:p>
    <w:p>
      <w:pPr>
        <w:spacing w:line="460" w:lineRule="exact"/>
        <w:ind w:firstLine="480" w:firstLineChars="200"/>
        <w:rPr>
          <w:rFonts w:ascii="宋体" w:hAnsi="宋体"/>
          <w:sz w:val="24"/>
          <w:szCs w:val="24"/>
        </w:rPr>
      </w:pPr>
    </w:p>
    <w:p>
      <w:pPr>
        <w:spacing w:line="460" w:lineRule="exact"/>
        <w:ind w:firstLine="480" w:firstLineChars="200"/>
        <w:rPr>
          <w:rFonts w:ascii="宋体" w:hAnsi="宋体"/>
          <w:sz w:val="24"/>
          <w:szCs w:val="24"/>
        </w:rPr>
      </w:pPr>
    </w:p>
    <w:p>
      <w:pPr>
        <w:spacing w:line="460" w:lineRule="exact"/>
        <w:ind w:firstLine="480" w:firstLineChars="200"/>
        <w:rPr>
          <w:rFonts w:ascii="宋体" w:hAnsi="宋体"/>
          <w:sz w:val="24"/>
          <w:szCs w:val="24"/>
        </w:rPr>
      </w:pPr>
    </w:p>
    <w:p>
      <w:pPr>
        <w:spacing w:line="460" w:lineRule="exact"/>
        <w:ind w:firstLine="480" w:firstLineChars="200"/>
        <w:rPr>
          <w:rFonts w:ascii="宋体" w:hAnsi="宋体"/>
          <w:sz w:val="24"/>
          <w:szCs w:val="24"/>
        </w:rPr>
      </w:pPr>
    </w:p>
    <w:p>
      <w:pPr>
        <w:spacing w:line="460" w:lineRule="exact"/>
        <w:ind w:firstLine="480" w:firstLineChars="200"/>
        <w:rPr>
          <w:rFonts w:ascii="宋体" w:hAnsi="宋体"/>
          <w:sz w:val="24"/>
          <w:szCs w:val="24"/>
        </w:rPr>
      </w:pPr>
    </w:p>
    <w:p>
      <w:pPr>
        <w:spacing w:line="460" w:lineRule="exact"/>
        <w:ind w:firstLine="480" w:firstLineChars="200"/>
        <w:rPr>
          <w:rFonts w:ascii="宋体" w:hAnsi="宋体"/>
          <w:sz w:val="24"/>
          <w:szCs w:val="24"/>
        </w:rPr>
      </w:pPr>
    </w:p>
    <w:p>
      <w:pPr>
        <w:spacing w:line="460" w:lineRule="exact"/>
        <w:ind w:firstLine="480" w:firstLineChars="200"/>
        <w:rPr>
          <w:rFonts w:ascii="宋体" w:hAnsi="宋体"/>
          <w:sz w:val="24"/>
          <w:szCs w:val="24"/>
        </w:rPr>
      </w:pPr>
    </w:p>
    <w:p>
      <w:pPr>
        <w:spacing w:line="460" w:lineRule="exact"/>
        <w:ind w:firstLine="480" w:firstLineChars="200"/>
        <w:rPr>
          <w:rFonts w:ascii="宋体" w:hAnsi="宋体"/>
          <w:sz w:val="24"/>
          <w:szCs w:val="24"/>
        </w:rPr>
      </w:pPr>
    </w:p>
    <w:p>
      <w:pPr>
        <w:spacing w:line="460" w:lineRule="exact"/>
        <w:ind w:firstLine="480" w:firstLineChars="200"/>
        <w:rPr>
          <w:rFonts w:ascii="宋体" w:hAnsi="宋体"/>
          <w:sz w:val="24"/>
          <w:szCs w:val="24"/>
        </w:rPr>
      </w:pPr>
    </w:p>
    <w:p>
      <w:pPr>
        <w:spacing w:line="460" w:lineRule="exact"/>
        <w:ind w:firstLine="480" w:firstLineChars="200"/>
        <w:rPr>
          <w:rFonts w:ascii="宋体" w:hAnsi="宋体"/>
          <w:sz w:val="24"/>
          <w:szCs w:val="24"/>
        </w:rPr>
      </w:pPr>
    </w:p>
    <w:p>
      <w:pPr>
        <w:spacing w:line="460" w:lineRule="exact"/>
        <w:ind w:firstLine="480" w:firstLineChars="200"/>
        <w:rPr>
          <w:rFonts w:ascii="宋体" w:hAnsi="宋体"/>
          <w:sz w:val="24"/>
          <w:szCs w:val="24"/>
        </w:rPr>
      </w:pPr>
    </w:p>
    <w:p>
      <w:pPr>
        <w:spacing w:line="460" w:lineRule="exact"/>
        <w:ind w:firstLine="480" w:firstLineChars="200"/>
        <w:rPr>
          <w:rFonts w:ascii="宋体" w:hAnsi="宋体"/>
          <w:sz w:val="24"/>
          <w:szCs w:val="24"/>
        </w:rPr>
      </w:pPr>
    </w:p>
    <w:p>
      <w:pPr>
        <w:spacing w:line="460" w:lineRule="exact"/>
        <w:ind w:firstLine="480" w:firstLineChars="200"/>
        <w:rPr>
          <w:rFonts w:ascii="宋体" w:hAnsi="宋体"/>
          <w:sz w:val="24"/>
          <w:szCs w:val="24"/>
        </w:rPr>
      </w:pPr>
    </w:p>
    <w:p>
      <w:pPr>
        <w:spacing w:line="460" w:lineRule="exact"/>
        <w:ind w:firstLine="480" w:firstLineChars="200"/>
        <w:rPr>
          <w:rFonts w:ascii="宋体" w:hAnsi="宋体"/>
          <w:sz w:val="24"/>
          <w:szCs w:val="24"/>
        </w:rPr>
      </w:pPr>
    </w:p>
    <w:p>
      <w:pPr>
        <w:spacing w:line="460" w:lineRule="exact"/>
        <w:ind w:firstLine="480" w:firstLineChars="200"/>
        <w:rPr>
          <w:rFonts w:ascii="宋体" w:hAnsi="宋体"/>
          <w:sz w:val="24"/>
          <w:szCs w:val="24"/>
        </w:rPr>
      </w:pPr>
    </w:p>
    <w:p>
      <w:pPr>
        <w:pStyle w:val="2"/>
        <w:rPr>
          <w:rFonts w:ascii="宋体" w:hAnsi="宋体" w:eastAsia="宋体"/>
          <w:b/>
          <w:szCs w:val="32"/>
        </w:rPr>
      </w:pPr>
      <w:bookmarkStart w:id="38" w:name="_Toc438627736"/>
      <w:bookmarkStart w:id="39" w:name="_Toc533861922"/>
      <w:r>
        <w:rPr>
          <w:rFonts w:hint="eastAsia" w:ascii="宋体" w:hAnsi="宋体" w:eastAsia="宋体"/>
          <w:b/>
          <w:szCs w:val="32"/>
        </w:rPr>
        <w:t>第二篇：学院就业创业工作</w:t>
      </w:r>
      <w:bookmarkEnd w:id="38"/>
      <w:r>
        <w:rPr>
          <w:rFonts w:hint="eastAsia" w:ascii="宋体" w:hAnsi="宋体" w:eastAsia="宋体"/>
          <w:b/>
          <w:szCs w:val="32"/>
        </w:rPr>
        <w:t>举措及亮点</w:t>
      </w:r>
      <w:bookmarkEnd w:id="39"/>
    </w:p>
    <w:p>
      <w:pPr>
        <w:pStyle w:val="3"/>
        <w:spacing w:before="0" w:after="0" w:line="500" w:lineRule="exact"/>
        <w:ind w:firstLine="562" w:firstLineChars="200"/>
        <w:rPr>
          <w:sz w:val="28"/>
          <w:szCs w:val="28"/>
        </w:rPr>
      </w:pPr>
      <w:bookmarkStart w:id="40" w:name="_Toc533861923"/>
      <w:bookmarkStart w:id="41" w:name="_Toc406571601"/>
      <w:r>
        <w:rPr>
          <w:rFonts w:hint="eastAsia"/>
          <w:sz w:val="28"/>
          <w:szCs w:val="28"/>
        </w:rPr>
        <w:t>一、组织建设与发展保障</w:t>
      </w:r>
      <w:bookmarkEnd w:id="40"/>
    </w:p>
    <w:p>
      <w:pPr>
        <w:pStyle w:val="4"/>
        <w:spacing w:before="0" w:after="0" w:line="500" w:lineRule="exact"/>
        <w:ind w:firstLine="562" w:firstLineChars="200"/>
        <w:rPr>
          <w:sz w:val="28"/>
          <w:szCs w:val="28"/>
        </w:rPr>
      </w:pPr>
      <w:bookmarkStart w:id="42" w:name="_Toc533861924"/>
      <w:r>
        <w:rPr>
          <w:rFonts w:hint="eastAsia"/>
          <w:sz w:val="28"/>
          <w:szCs w:val="28"/>
        </w:rPr>
        <w:t>（一）学院领导高度重视毕业生就业工作</w:t>
      </w:r>
      <w:bookmarkEnd w:id="42"/>
      <w:r>
        <w:rPr>
          <w:sz w:val="28"/>
          <w:szCs w:val="28"/>
        </w:rPr>
        <w:t xml:space="preserve"> </w:t>
      </w:r>
    </w:p>
    <w:p>
      <w:pPr>
        <w:spacing w:line="500" w:lineRule="exact"/>
        <w:ind w:firstLine="480" w:firstLineChars="200"/>
        <w:rPr>
          <w:rFonts w:ascii="宋体"/>
          <w:sz w:val="24"/>
          <w:szCs w:val="24"/>
        </w:rPr>
      </w:pPr>
      <w:r>
        <w:rPr>
          <w:rFonts w:hint="eastAsia" w:ascii="宋体" w:hAnsi="宋体"/>
          <w:sz w:val="24"/>
          <w:szCs w:val="24"/>
        </w:rPr>
        <w:t>始终把就业工作作为“一把手工程”，成立了学院就业工作领导小组，学院院长担任组长，分管副院长担任副组长，全面负责毕业生就业工作；学院党政会议定期研究和部署毕业生就业工作，听取就业部门关于毕业生就业进展情况的汇报，及时协调解决就业工作中的困难和问题；就业工作领导小组每年研究部署全院就业工作计划，指导各系正常有序的开展就业工作。</w:t>
      </w:r>
    </w:p>
    <w:p>
      <w:pPr>
        <w:pStyle w:val="4"/>
        <w:spacing w:before="0" w:after="0" w:line="500" w:lineRule="exact"/>
        <w:ind w:firstLine="562" w:firstLineChars="200"/>
        <w:rPr>
          <w:sz w:val="28"/>
          <w:szCs w:val="28"/>
        </w:rPr>
      </w:pPr>
      <w:bookmarkStart w:id="43" w:name="_Toc533861925"/>
      <w:r>
        <w:rPr>
          <w:rFonts w:hint="eastAsia"/>
          <w:sz w:val="28"/>
          <w:szCs w:val="28"/>
        </w:rPr>
        <w:t>（二）强化院系两级就业工作管理体系</w:t>
      </w:r>
      <w:bookmarkEnd w:id="43"/>
      <w:r>
        <w:rPr>
          <w:sz w:val="28"/>
          <w:szCs w:val="28"/>
        </w:rPr>
        <w:t xml:space="preserve"> </w:t>
      </w:r>
    </w:p>
    <w:p>
      <w:pPr>
        <w:spacing w:line="500" w:lineRule="exact"/>
        <w:ind w:firstLine="480" w:firstLineChars="200"/>
        <w:rPr>
          <w:rFonts w:ascii="宋体"/>
          <w:sz w:val="24"/>
          <w:szCs w:val="24"/>
        </w:rPr>
      </w:pPr>
      <w:r>
        <w:rPr>
          <w:rFonts w:hint="eastAsia" w:ascii="宋体" w:hAnsi="宋体"/>
          <w:sz w:val="24"/>
          <w:szCs w:val="24"/>
        </w:rPr>
        <w:t>进一步下移工作重心，充分发挥各系在就业工作中的主体作用，制定了《就业工作管理办法》和《毕业生就业工作考核奖励办法》，各系总支书记作为本系就业工作小组的责任人，按照学院就业工作安排，亲自部署，及时协调，狠抓落实，研究解决就业工作中存在的问题和困难，总结推广就业工作中的先进经验和成功做法，不断推进毕业生就业工作的有效开展。</w:t>
      </w:r>
    </w:p>
    <w:p>
      <w:pPr>
        <w:pStyle w:val="4"/>
        <w:spacing w:before="0" w:after="0" w:line="500" w:lineRule="exact"/>
        <w:ind w:firstLine="562" w:firstLineChars="200"/>
        <w:rPr>
          <w:sz w:val="28"/>
          <w:szCs w:val="28"/>
        </w:rPr>
      </w:pPr>
      <w:bookmarkStart w:id="44" w:name="_Toc533861926"/>
      <w:r>
        <w:rPr>
          <w:rFonts w:hint="eastAsia"/>
          <w:sz w:val="28"/>
          <w:szCs w:val="28"/>
        </w:rPr>
        <w:t>（三）加大投入，就业工作条件不断改善</w:t>
      </w:r>
      <w:bookmarkEnd w:id="44"/>
      <w:r>
        <w:rPr>
          <w:sz w:val="28"/>
          <w:szCs w:val="28"/>
        </w:rPr>
        <w:t xml:space="preserve"> </w:t>
      </w:r>
    </w:p>
    <w:p>
      <w:pPr>
        <w:spacing w:line="500" w:lineRule="exact"/>
        <w:ind w:firstLine="480" w:firstLineChars="200"/>
        <w:rPr>
          <w:rFonts w:ascii="宋体"/>
          <w:sz w:val="24"/>
          <w:szCs w:val="24"/>
        </w:rPr>
      </w:pPr>
      <w:r>
        <w:rPr>
          <w:rFonts w:hint="eastAsia" w:ascii="宋体" w:hAnsi="宋体"/>
          <w:sz w:val="24"/>
          <w:szCs w:val="24"/>
        </w:rPr>
        <w:t>学校一直按照主管部门相关要求及时下拨毕业生就业专项经费，配制了专门的办公场所，并在后勤保障、信息化建设和日常经费开支等方面实行了重点倾斜，。学校设有专门的就业办公室、面试洽谈室、档案管理室、咨询指导室各</w:t>
      </w:r>
      <w:r>
        <w:rPr>
          <w:rFonts w:ascii="宋体" w:hAnsi="宋体"/>
          <w:sz w:val="24"/>
          <w:szCs w:val="24"/>
        </w:rPr>
        <w:t xml:space="preserve"> 1 </w:t>
      </w:r>
      <w:r>
        <w:rPr>
          <w:rFonts w:hint="eastAsia" w:ascii="宋体" w:hAnsi="宋体"/>
          <w:sz w:val="24"/>
          <w:szCs w:val="24"/>
        </w:rPr>
        <w:t>间，招聘宣讲室</w:t>
      </w:r>
      <w:r>
        <w:rPr>
          <w:rFonts w:ascii="宋体" w:hAnsi="宋体"/>
          <w:sz w:val="24"/>
          <w:szCs w:val="24"/>
        </w:rPr>
        <w:t xml:space="preserve"> 4 </w:t>
      </w:r>
      <w:r>
        <w:rPr>
          <w:rFonts w:hint="eastAsia" w:ascii="宋体" w:hAnsi="宋体"/>
          <w:sz w:val="24"/>
          <w:szCs w:val="24"/>
        </w:rPr>
        <w:t>间。</w:t>
      </w:r>
      <w:r>
        <w:rPr>
          <w:rFonts w:ascii="宋体" w:hAnsi="宋体"/>
          <w:sz w:val="24"/>
          <w:szCs w:val="24"/>
        </w:rPr>
        <w:t xml:space="preserve"> </w:t>
      </w:r>
      <w:r>
        <w:rPr>
          <w:rFonts w:hint="eastAsia" w:ascii="宋体" w:hAnsi="宋体"/>
          <w:sz w:val="24"/>
          <w:szCs w:val="24"/>
        </w:rPr>
        <w:t>上述配套硬件设施为学校就业工作的正常运行提供了保障。</w:t>
      </w:r>
    </w:p>
    <w:p>
      <w:pPr>
        <w:pStyle w:val="4"/>
        <w:spacing w:before="0" w:after="0" w:line="500" w:lineRule="exact"/>
        <w:ind w:firstLine="562" w:firstLineChars="200"/>
        <w:rPr>
          <w:sz w:val="28"/>
          <w:szCs w:val="28"/>
        </w:rPr>
      </w:pPr>
      <w:bookmarkStart w:id="45" w:name="_Toc533861927"/>
      <w:r>
        <w:rPr>
          <w:rFonts w:hint="eastAsia"/>
          <w:sz w:val="28"/>
          <w:szCs w:val="28"/>
        </w:rPr>
        <w:t>（四）加强就业创业队伍建设</w:t>
      </w:r>
      <w:bookmarkEnd w:id="45"/>
      <w:r>
        <w:rPr>
          <w:sz w:val="28"/>
          <w:szCs w:val="28"/>
        </w:rPr>
        <w:t xml:space="preserve"> </w:t>
      </w:r>
    </w:p>
    <w:p>
      <w:pPr>
        <w:spacing w:line="500" w:lineRule="exact"/>
        <w:ind w:firstLine="480" w:firstLineChars="200"/>
        <w:rPr>
          <w:rFonts w:ascii="宋体" w:hAnsi="宋体"/>
          <w:sz w:val="24"/>
          <w:szCs w:val="24"/>
        </w:rPr>
      </w:pPr>
      <w:r>
        <w:rPr>
          <w:rFonts w:hint="eastAsia" w:ascii="宋体" w:hAnsi="宋体"/>
          <w:sz w:val="24"/>
          <w:szCs w:val="24"/>
        </w:rPr>
        <w:t>随着学院办学规模的不断扩大，学院及时充实毕业生就业工作力量，配有专职就业创业心理咨询教师，选派就业指导专职人员参加相关培训，建立了一支相对稳定、专兼结合、有较高素质和业务能力的就业指导教师队伍。</w:t>
      </w:r>
      <w:r>
        <w:rPr>
          <w:rFonts w:ascii="宋体" w:hAnsi="宋体"/>
          <w:sz w:val="24"/>
          <w:szCs w:val="24"/>
        </w:rPr>
        <w:t>4</w:t>
      </w:r>
      <w:r>
        <w:rPr>
          <w:rFonts w:hint="eastAsia" w:ascii="宋体" w:hAnsi="宋体"/>
          <w:sz w:val="24"/>
          <w:szCs w:val="24"/>
        </w:rPr>
        <w:t>人获得全国高级职业指导师证书，</w:t>
      </w:r>
      <w:r>
        <w:rPr>
          <w:rFonts w:ascii="宋体" w:hAnsi="宋体"/>
          <w:sz w:val="24"/>
          <w:szCs w:val="24"/>
        </w:rPr>
        <w:t>1</w:t>
      </w:r>
      <w:r>
        <w:rPr>
          <w:rFonts w:hint="eastAsia" w:ascii="宋体" w:hAnsi="宋体"/>
          <w:sz w:val="24"/>
          <w:szCs w:val="24"/>
        </w:rPr>
        <w:t>人获得全国职业指导师培训证书，</w:t>
      </w:r>
      <w:r>
        <w:rPr>
          <w:rFonts w:ascii="宋体" w:hAnsi="宋体"/>
          <w:sz w:val="24"/>
          <w:szCs w:val="24"/>
        </w:rPr>
        <w:t>6</w:t>
      </w:r>
      <w:r>
        <w:rPr>
          <w:rFonts w:hint="eastAsia" w:ascii="宋体" w:hAnsi="宋体"/>
          <w:sz w:val="24"/>
          <w:szCs w:val="24"/>
        </w:rPr>
        <w:t>人取得高校职业生涯规划</w:t>
      </w:r>
      <w:r>
        <w:rPr>
          <w:rFonts w:ascii="宋体" w:hAnsi="宋体"/>
          <w:sz w:val="24"/>
          <w:szCs w:val="24"/>
        </w:rPr>
        <w:t>TTT</w:t>
      </w:r>
      <w:r>
        <w:rPr>
          <w:rFonts w:hint="eastAsia" w:ascii="宋体" w:hAnsi="宋体"/>
          <w:sz w:val="24"/>
          <w:szCs w:val="24"/>
        </w:rPr>
        <w:t>培训证书。</w:t>
      </w:r>
      <w:r>
        <w:rPr>
          <w:rFonts w:ascii="宋体" w:hAnsi="宋体"/>
          <w:sz w:val="24"/>
          <w:szCs w:val="24"/>
        </w:rPr>
        <w:t>6</w:t>
      </w:r>
      <w:r>
        <w:rPr>
          <w:rFonts w:hint="eastAsia" w:ascii="宋体" w:hAnsi="宋体"/>
          <w:sz w:val="24"/>
          <w:szCs w:val="24"/>
        </w:rPr>
        <w:t>人取得了心理咨询师证书。</w:t>
      </w:r>
    </w:p>
    <w:p>
      <w:pPr>
        <w:pStyle w:val="3"/>
        <w:spacing w:before="0" w:after="0" w:line="500" w:lineRule="exact"/>
        <w:ind w:firstLine="562" w:firstLineChars="200"/>
        <w:rPr>
          <w:sz w:val="28"/>
          <w:szCs w:val="28"/>
        </w:rPr>
      </w:pPr>
      <w:bookmarkStart w:id="46" w:name="_Toc438627738"/>
      <w:bookmarkStart w:id="47" w:name="_Toc533861928"/>
      <w:r>
        <w:rPr>
          <w:rFonts w:hint="eastAsia"/>
          <w:sz w:val="28"/>
          <w:szCs w:val="28"/>
        </w:rPr>
        <w:t>二、就业创业指导与服务</w:t>
      </w:r>
      <w:bookmarkEnd w:id="46"/>
      <w:bookmarkEnd w:id="47"/>
    </w:p>
    <w:p>
      <w:pPr>
        <w:pStyle w:val="4"/>
        <w:spacing w:before="0" w:after="0" w:line="500" w:lineRule="exact"/>
        <w:ind w:firstLine="562" w:firstLineChars="200"/>
        <w:rPr>
          <w:sz w:val="28"/>
          <w:szCs w:val="28"/>
        </w:rPr>
      </w:pPr>
      <w:bookmarkStart w:id="48" w:name="_Toc533861929"/>
      <w:r>
        <w:rPr>
          <w:rFonts w:hint="eastAsia"/>
          <w:sz w:val="28"/>
          <w:szCs w:val="28"/>
        </w:rPr>
        <w:t>（一）加强就业指导，提升学生职业</w:t>
      </w:r>
      <w:r>
        <w:rPr>
          <w:sz w:val="28"/>
          <w:szCs w:val="28"/>
        </w:rPr>
        <w:t>发展</w:t>
      </w:r>
      <w:r>
        <w:rPr>
          <w:rFonts w:hint="eastAsia"/>
          <w:sz w:val="28"/>
          <w:szCs w:val="28"/>
        </w:rPr>
        <w:t>能力</w:t>
      </w:r>
      <w:bookmarkEnd w:id="48"/>
    </w:p>
    <w:p>
      <w:pPr>
        <w:spacing w:line="500" w:lineRule="exact"/>
        <w:ind w:firstLine="480" w:firstLineChars="200"/>
        <w:rPr>
          <w:rFonts w:ascii="宋体"/>
          <w:sz w:val="24"/>
          <w:szCs w:val="24"/>
        </w:rPr>
      </w:pPr>
      <w:r>
        <w:rPr>
          <w:rFonts w:hint="eastAsia" w:ascii="宋体" w:hAnsi="宋体"/>
          <w:sz w:val="24"/>
          <w:szCs w:val="24"/>
        </w:rPr>
        <w:t>学院高度重视毕业生上岗前的就业指导工作，把就业指导课作为各专业的必修课开设，编写并出版了适合我院学生就业创业教育的《大学生职业生涯规划》与《大学生就业指导》教材。通过就业指导课，帮助学生获得有关就业知识、技能及经验，促进学生选择、获得并能够从事一项适合自己的职业，帮助学生树立“先就业，后择业，再创业”的就业择业观。通过典型案例分析、现场模拟招聘、就业实习实训、邀请著名专家、学者、优秀校友回校讲座等形式加强了课程的实践环节，增强了就业指导课的实效性。从提高学生尽快适应工作岗位入手，对即将奔赴工作岗位的学生做心理、思想教育的指导讲座，引导学生树立从基层、从艰苦的工作干起的工作意识。强化学生学会相信别人与自我保护；学会竞争与团队协作；学会严格与宽容，学会坚持与妥协；学会倾听与表达；学会在挫折中守护理想，在超越中留住平凡。让学生深刻理解到工作没有好坏之分，只有适合自己的才是最好的职业思想理念，激发学生追求属于自己的生涯发展的信心。</w:t>
      </w:r>
    </w:p>
    <w:p>
      <w:pPr>
        <w:pStyle w:val="4"/>
        <w:spacing w:before="0" w:after="0" w:line="500" w:lineRule="exact"/>
        <w:ind w:firstLine="562" w:firstLineChars="200"/>
        <w:rPr>
          <w:sz w:val="28"/>
          <w:szCs w:val="28"/>
        </w:rPr>
      </w:pPr>
      <w:bookmarkStart w:id="49" w:name="_Toc533861930"/>
      <w:r>
        <w:rPr>
          <w:rFonts w:hint="eastAsia"/>
          <w:sz w:val="28"/>
          <w:szCs w:val="28"/>
        </w:rPr>
        <w:t>（二）开展创新创业教育，培养</w:t>
      </w:r>
      <w:r>
        <w:rPr>
          <w:sz w:val="28"/>
          <w:szCs w:val="28"/>
        </w:rPr>
        <w:t>学生创新创业</w:t>
      </w:r>
      <w:r>
        <w:rPr>
          <w:rFonts w:hint="eastAsia"/>
          <w:sz w:val="28"/>
          <w:szCs w:val="28"/>
        </w:rPr>
        <w:t>能力</w:t>
      </w:r>
      <w:bookmarkEnd w:id="49"/>
    </w:p>
    <w:p>
      <w:pPr>
        <w:spacing w:line="500" w:lineRule="exact"/>
        <w:ind w:firstLine="480" w:firstLineChars="200"/>
        <w:rPr>
          <w:rFonts w:ascii="宋体"/>
          <w:sz w:val="24"/>
          <w:szCs w:val="24"/>
        </w:rPr>
      </w:pPr>
      <w:r>
        <w:rPr>
          <w:rFonts w:hint="eastAsia" w:ascii="宋体" w:hAnsi="宋体"/>
          <w:sz w:val="24"/>
          <w:szCs w:val="24"/>
        </w:rPr>
        <w:t>为了激发学生的创新思维，培养学生的创新精神和创业能力，敢于张扬个性、勤于探索、勇于创新、善于与人合作等，学院采取了一系列行之有效的措施来培养学生的创业意识和创业能力。首先，将创业教育纳入教学体系。在教学中增加实践性的内容，组织学生参加与创业理论相关的实践活动，包括：社会调查、创业活动模拟、创业设计比赛等。通过这些活动，拓宽了学生的知识面，提高了学生的动手能力和实践能力。其次，为了加强学生创新创业教育，学院成立了学生创新创业中心，形成了多层次、多方位的创业教育组织，搭建多种创新创业实践的平台。一是构建了学生专业创业工作室。以专业为依托，强调将学生的自主创业意识转化为创业实践、将专业知识转化为创业的资源，学以致用。二是建立了与企业的对接机制。学院结合自己的人才培养特色，以服务大学生创业为导向，让企业深入学校，通过优秀企业家言传身教，激励大学生健康成长。同时，建立了校企联办的“大学生实践基地”，发挥企业与学院的优势，形成“产、学、研一体化”的应用型人才培养模式，增强学生实践能力，提高企业的经济效益，实现学院和企业的双高赢。三是采取了多种形式营造浓厚的创业氛围。举办创业论坛、营销模拟、创业设计大赛等活动，培养了学生专业创新意识。通过企业家论坛，建立了学生与企业家之间一种面对面的直接交流机制，激励了学生投身于创业实践的热情。</w:t>
      </w:r>
    </w:p>
    <w:p>
      <w:pPr>
        <w:pStyle w:val="4"/>
        <w:spacing w:before="0" w:after="0" w:line="500" w:lineRule="exact"/>
        <w:ind w:firstLine="562" w:firstLineChars="200"/>
        <w:rPr>
          <w:sz w:val="28"/>
          <w:szCs w:val="28"/>
        </w:rPr>
      </w:pPr>
      <w:bookmarkStart w:id="50" w:name="_Toc533861931"/>
      <w:r>
        <w:rPr>
          <w:rFonts w:hint="eastAsia"/>
          <w:sz w:val="28"/>
          <w:szCs w:val="28"/>
        </w:rPr>
        <w:t>（三）</w:t>
      </w:r>
      <w:r>
        <w:rPr>
          <w:sz w:val="28"/>
          <w:szCs w:val="28"/>
        </w:rPr>
        <w:t>拓</w:t>
      </w:r>
      <w:r>
        <w:rPr>
          <w:rFonts w:hint="eastAsia"/>
          <w:sz w:val="28"/>
          <w:szCs w:val="28"/>
        </w:rPr>
        <w:t>宽</w:t>
      </w:r>
      <w:r>
        <w:rPr>
          <w:sz w:val="28"/>
          <w:szCs w:val="28"/>
        </w:rPr>
        <w:t>就业渠道</w:t>
      </w:r>
      <w:r>
        <w:rPr>
          <w:rFonts w:hint="eastAsia"/>
          <w:sz w:val="28"/>
          <w:szCs w:val="28"/>
        </w:rPr>
        <w:t>，促进</w:t>
      </w:r>
      <w:r>
        <w:rPr>
          <w:sz w:val="28"/>
          <w:szCs w:val="28"/>
        </w:rPr>
        <w:t>毕业生充分就业</w:t>
      </w:r>
      <w:bookmarkEnd w:id="50"/>
    </w:p>
    <w:p>
      <w:pPr>
        <w:spacing w:line="500" w:lineRule="exact"/>
        <w:ind w:firstLine="480" w:firstLineChars="200"/>
        <w:rPr>
          <w:rFonts w:ascii="宋体"/>
          <w:sz w:val="24"/>
          <w:szCs w:val="24"/>
        </w:rPr>
      </w:pPr>
      <w:r>
        <w:rPr>
          <w:rFonts w:hint="eastAsia" w:ascii="宋体" w:hAnsi="宋体"/>
          <w:sz w:val="24"/>
          <w:szCs w:val="24"/>
        </w:rPr>
        <w:t>在对生源统计、生源编报、需求信息统计发布、信息查询等各项工作中实行网络管理的基础上，学校及时更新就业网站信息和院内就业管理平台，对省就业指导中心</w:t>
      </w:r>
      <w:r>
        <w:rPr>
          <w:rFonts w:ascii="宋体" w:hAnsi="宋体"/>
          <w:sz w:val="24"/>
          <w:szCs w:val="24"/>
        </w:rPr>
        <w:t xml:space="preserve"> </w:t>
      </w:r>
      <w:r>
        <w:rPr>
          <w:rFonts w:hint="eastAsia" w:ascii="宋体" w:hAnsi="宋体"/>
          <w:sz w:val="24"/>
          <w:szCs w:val="24"/>
        </w:rPr>
        <w:t>和多家兄弟院校建立就业信息资源对接，并逐步形成就业工作人员联系制度，通过纸制通知、系（院）网站、微信、</w:t>
      </w:r>
      <w:r>
        <w:rPr>
          <w:rFonts w:ascii="宋体" w:hAnsi="宋体"/>
          <w:sz w:val="24"/>
          <w:szCs w:val="24"/>
        </w:rPr>
        <w:t xml:space="preserve">QQ </w:t>
      </w:r>
      <w:r>
        <w:rPr>
          <w:rFonts w:hint="eastAsia" w:ascii="宋体" w:hAnsi="宋体"/>
          <w:sz w:val="24"/>
          <w:szCs w:val="24"/>
        </w:rPr>
        <w:t>群等多种渠道发布就业信息，对于学生就业信息做到全面及时跟踪和掌握。与重点就业合作单位建立的供需互通微信朋友圈，企业招聘信息第一时间发布在朋友圈，学校毕业生数量及专业分布情况也定</w:t>
      </w:r>
      <w:r>
        <w:rPr>
          <w:rFonts w:ascii="宋体" w:hAnsi="宋体"/>
          <w:sz w:val="24"/>
          <w:szCs w:val="24"/>
        </w:rPr>
        <w:t xml:space="preserve"> </w:t>
      </w:r>
      <w:r>
        <w:rPr>
          <w:rFonts w:hint="eastAsia" w:ascii="宋体" w:hAnsi="宋体"/>
          <w:sz w:val="24"/>
          <w:szCs w:val="24"/>
        </w:rPr>
        <w:t>期向企业发送。目前已经基本形成了</w:t>
      </w:r>
      <w:r>
        <w:rPr>
          <w:rFonts w:hint="eastAsia" w:ascii="宋体"/>
          <w:sz w:val="24"/>
          <w:szCs w:val="24"/>
        </w:rPr>
        <w:t>“</w:t>
      </w:r>
      <w:r>
        <w:rPr>
          <w:rFonts w:hint="eastAsia" w:ascii="宋体" w:hAnsi="宋体"/>
          <w:sz w:val="24"/>
          <w:szCs w:val="24"/>
        </w:rPr>
        <w:t>渠道丰富，手段多样，沟通顺畅，及时高效</w:t>
      </w:r>
      <w:r>
        <w:rPr>
          <w:rFonts w:hint="eastAsia" w:ascii="宋体"/>
          <w:sz w:val="24"/>
          <w:szCs w:val="24"/>
        </w:rPr>
        <w:t>”</w:t>
      </w:r>
      <w:r>
        <w:rPr>
          <w:rFonts w:hint="eastAsia" w:ascii="宋体" w:hAnsi="宋体"/>
          <w:sz w:val="24"/>
          <w:szCs w:val="24"/>
        </w:rPr>
        <w:t>的就业信息发布和管理网络。</w:t>
      </w:r>
      <w:r>
        <w:rPr>
          <w:rFonts w:ascii="宋体" w:hAnsi="宋体"/>
          <w:sz w:val="24"/>
          <w:szCs w:val="24"/>
        </w:rPr>
        <w:t xml:space="preserve"> </w:t>
      </w:r>
    </w:p>
    <w:p>
      <w:pPr>
        <w:pStyle w:val="4"/>
        <w:spacing w:before="0" w:after="0" w:line="500" w:lineRule="exact"/>
        <w:ind w:firstLine="562" w:firstLineChars="200"/>
        <w:rPr>
          <w:sz w:val="28"/>
          <w:szCs w:val="28"/>
        </w:rPr>
      </w:pPr>
      <w:bookmarkStart w:id="51" w:name="_Toc533861932"/>
      <w:r>
        <w:rPr>
          <w:rFonts w:hint="eastAsia"/>
          <w:sz w:val="28"/>
          <w:szCs w:val="28"/>
        </w:rPr>
        <w:t>（四）全面部署</w:t>
      </w:r>
      <w:r>
        <w:rPr>
          <w:sz w:val="28"/>
          <w:szCs w:val="28"/>
        </w:rPr>
        <w:t>，引导鼓励毕业生</w:t>
      </w:r>
      <w:r>
        <w:rPr>
          <w:rFonts w:hint="eastAsia"/>
          <w:sz w:val="28"/>
          <w:szCs w:val="28"/>
        </w:rPr>
        <w:t>赴</w:t>
      </w:r>
      <w:r>
        <w:rPr>
          <w:sz w:val="28"/>
          <w:szCs w:val="28"/>
        </w:rPr>
        <w:t>基层就业</w:t>
      </w:r>
      <w:bookmarkEnd w:id="51"/>
    </w:p>
    <w:p>
      <w:pPr>
        <w:spacing w:line="500" w:lineRule="exact"/>
        <w:ind w:firstLine="480" w:firstLineChars="200"/>
        <w:rPr>
          <w:rFonts w:ascii="宋体"/>
          <w:sz w:val="24"/>
          <w:szCs w:val="24"/>
        </w:rPr>
      </w:pPr>
      <w:r>
        <w:rPr>
          <w:rFonts w:hint="eastAsia" w:ascii="宋体" w:hAnsi="宋体"/>
          <w:sz w:val="24"/>
          <w:szCs w:val="24"/>
        </w:rPr>
        <w:t>学院针对毕业生就业创业开展“百千万工程”系列讲座，宣传省委省政府关于高校毕业生就业创业工作的最新精神，根据我院不同专业的就业特点，有选择针对性的就“民生实事项目”和“三个基层就业项目”对毕业学生进行了就业创业辅导。学院广泛宣传，积极做好毕业生的报名推荐工作，今年有</w:t>
      </w:r>
      <w:r>
        <w:rPr>
          <w:rFonts w:ascii="宋体" w:hAnsi="宋体"/>
          <w:sz w:val="24"/>
          <w:szCs w:val="24"/>
        </w:rPr>
        <w:t>1800</w:t>
      </w:r>
      <w:r>
        <w:rPr>
          <w:rFonts w:hint="eastAsia" w:ascii="宋体" w:hAnsi="宋体"/>
          <w:sz w:val="24"/>
          <w:szCs w:val="24"/>
        </w:rPr>
        <w:t>多名学生参加报名。</w:t>
      </w:r>
    </w:p>
    <w:p>
      <w:pPr>
        <w:pStyle w:val="4"/>
        <w:spacing w:before="0" w:after="0" w:line="500" w:lineRule="exact"/>
        <w:ind w:firstLine="562" w:firstLineChars="200"/>
        <w:rPr>
          <w:sz w:val="28"/>
          <w:szCs w:val="28"/>
        </w:rPr>
      </w:pPr>
      <w:bookmarkStart w:id="52" w:name="_Toc533861933"/>
      <w:r>
        <w:rPr>
          <w:rFonts w:hint="eastAsia"/>
          <w:sz w:val="28"/>
          <w:szCs w:val="28"/>
        </w:rPr>
        <w:t>（五）积极</w:t>
      </w:r>
      <w:r>
        <w:rPr>
          <w:sz w:val="28"/>
          <w:szCs w:val="28"/>
        </w:rPr>
        <w:t>开展</w:t>
      </w:r>
      <w:r>
        <w:rPr>
          <w:rFonts w:hint="eastAsia"/>
          <w:sz w:val="28"/>
          <w:szCs w:val="28"/>
        </w:rPr>
        <w:t>创新创业活动，深化学生创业实践</w:t>
      </w:r>
      <w:bookmarkEnd w:id="52"/>
    </w:p>
    <w:p>
      <w:pPr>
        <w:spacing w:line="500" w:lineRule="exact"/>
        <w:ind w:firstLine="480" w:firstLineChars="200"/>
        <w:rPr>
          <w:rFonts w:ascii="宋体"/>
          <w:sz w:val="24"/>
          <w:szCs w:val="24"/>
        </w:rPr>
      </w:pPr>
      <w:r>
        <w:rPr>
          <w:rFonts w:hint="eastAsia" w:ascii="宋体" w:hAnsi="宋体"/>
          <w:sz w:val="24"/>
          <w:szCs w:val="24"/>
        </w:rPr>
        <w:t>认真贯彻落实《教育部关于大力推进高等学校创新创业教育和大学生自主创业工作的意见》教办〔201</w:t>
      </w:r>
      <w:r>
        <w:rPr>
          <w:rFonts w:ascii="宋体" w:hAnsi="宋体"/>
          <w:sz w:val="24"/>
          <w:szCs w:val="24"/>
        </w:rPr>
        <w:t>0</w:t>
      </w:r>
      <w:r>
        <w:rPr>
          <w:rFonts w:hint="eastAsia" w:ascii="宋体" w:hAnsi="宋体"/>
          <w:sz w:val="24"/>
          <w:szCs w:val="24"/>
        </w:rPr>
        <w:t>〕</w:t>
      </w:r>
      <w:r>
        <w:rPr>
          <w:rFonts w:ascii="宋体" w:hAnsi="宋体"/>
          <w:sz w:val="24"/>
          <w:szCs w:val="24"/>
        </w:rPr>
        <w:t>3</w:t>
      </w:r>
      <w:r>
        <w:rPr>
          <w:rFonts w:hint="eastAsia" w:ascii="宋体" w:hAnsi="宋体"/>
          <w:sz w:val="24"/>
          <w:szCs w:val="24"/>
        </w:rPr>
        <w:t>号文件精神，按照《甘肃畜牧工程职业技术学院2018年工作要点》和《甘肃畜牧工程职业技术学院学生创新创业工作实施方案》的要求，积极推进素质教育，认真开展各项日常工作，扎实有效推进学生创新创业工作，</w:t>
      </w:r>
      <w:r>
        <w:rPr>
          <w:rFonts w:ascii="宋体" w:hAnsi="宋体"/>
          <w:sz w:val="24"/>
          <w:szCs w:val="24"/>
        </w:rPr>
        <w:t>为</w:t>
      </w:r>
      <w:r>
        <w:rPr>
          <w:rFonts w:hint="eastAsia" w:ascii="宋体" w:hAnsi="宋体"/>
          <w:sz w:val="24"/>
          <w:szCs w:val="24"/>
        </w:rPr>
        <w:t>学生</w:t>
      </w:r>
      <w:r>
        <w:rPr>
          <w:rFonts w:ascii="宋体" w:hAnsi="宋体"/>
          <w:sz w:val="24"/>
          <w:szCs w:val="24"/>
        </w:rPr>
        <w:t>日后走上顶岗实习岗位或从事创业活动奠定坚实的基础。</w:t>
      </w:r>
      <w:r>
        <w:rPr>
          <w:rFonts w:hint="eastAsia" w:ascii="宋体" w:hAnsi="宋体"/>
          <w:sz w:val="24"/>
          <w:szCs w:val="24"/>
        </w:rPr>
        <w:t>一</w:t>
      </w:r>
      <w:r>
        <w:rPr>
          <w:rFonts w:ascii="宋体" w:hAnsi="宋体"/>
          <w:sz w:val="24"/>
          <w:szCs w:val="24"/>
        </w:rPr>
        <w:t>是</w:t>
      </w:r>
      <w:r>
        <w:rPr>
          <w:rFonts w:hint="eastAsia" w:ascii="宋体" w:hAnsi="宋体"/>
          <w:sz w:val="24"/>
          <w:szCs w:val="24"/>
        </w:rPr>
        <w:t>依托</w:t>
      </w:r>
      <w:r>
        <w:rPr>
          <w:rFonts w:ascii="宋体" w:hAnsi="宋体"/>
          <w:sz w:val="24"/>
          <w:szCs w:val="24"/>
        </w:rPr>
        <w:t>学院</w:t>
      </w:r>
      <w:r>
        <w:rPr>
          <w:rFonts w:hint="eastAsia" w:ascii="宋体" w:hAnsi="宋体"/>
          <w:sz w:val="24"/>
          <w:szCs w:val="24"/>
        </w:rPr>
        <w:t>资源优势</w:t>
      </w:r>
      <w:r>
        <w:rPr>
          <w:rFonts w:ascii="宋体" w:hAnsi="宋体"/>
          <w:sz w:val="24"/>
          <w:szCs w:val="24"/>
        </w:rPr>
        <w:t>与</w:t>
      </w:r>
      <w:r>
        <w:rPr>
          <w:rFonts w:hint="eastAsia" w:ascii="宋体" w:hAnsi="宋体"/>
          <w:sz w:val="24"/>
          <w:szCs w:val="24"/>
        </w:rPr>
        <w:t>“互联网 + ”的助推力，搭建信息化平台，</w:t>
      </w:r>
      <w:r>
        <w:rPr>
          <w:rFonts w:ascii="宋体" w:hAnsi="宋体"/>
          <w:sz w:val="24"/>
          <w:szCs w:val="24"/>
        </w:rPr>
        <w:t>建设创新</w:t>
      </w:r>
      <w:r>
        <w:rPr>
          <w:rFonts w:hint="eastAsia" w:ascii="宋体" w:hAnsi="宋体"/>
          <w:sz w:val="24"/>
          <w:szCs w:val="24"/>
        </w:rPr>
        <w:t>创业</w:t>
      </w:r>
      <w:r>
        <w:rPr>
          <w:rFonts w:ascii="宋体" w:hAnsi="宋体"/>
          <w:sz w:val="24"/>
          <w:szCs w:val="24"/>
        </w:rPr>
        <w:t>实践基地</w:t>
      </w:r>
      <w:r>
        <w:rPr>
          <w:rFonts w:hint="eastAsia" w:ascii="宋体" w:hAnsi="宋体"/>
          <w:sz w:val="24"/>
          <w:szCs w:val="24"/>
        </w:rPr>
        <w:t>，有效推进创业创业项目孵化及成果转化相关工作。目前，汽车实训服务中心、武威翼峰学子商务有限公司、3D打印体验中心、玻璃内雕服务中心、美购到家体验中心、菜鸟驿站等实体投入运营，为相关专业学生搭建了提升实践能力的有效平台。二</w:t>
      </w:r>
      <w:r>
        <w:rPr>
          <w:rFonts w:ascii="宋体" w:hAnsi="宋体"/>
          <w:sz w:val="24"/>
          <w:szCs w:val="24"/>
        </w:rPr>
        <w:t>是以</w:t>
      </w:r>
      <w:r>
        <w:rPr>
          <w:rFonts w:hint="eastAsia" w:ascii="宋体" w:hAnsi="宋体"/>
          <w:sz w:val="24"/>
          <w:szCs w:val="24"/>
        </w:rPr>
        <w:t>“创新创业训练计划项目”为载体，</w:t>
      </w:r>
      <w:r>
        <w:rPr>
          <w:rFonts w:ascii="宋体" w:hAnsi="宋体"/>
          <w:sz w:val="24"/>
          <w:szCs w:val="24"/>
        </w:rPr>
        <w:t>构建</w:t>
      </w:r>
      <w:r>
        <w:rPr>
          <w:rFonts w:hint="eastAsia" w:ascii="宋体" w:hAnsi="宋体"/>
          <w:sz w:val="24"/>
          <w:szCs w:val="24"/>
        </w:rPr>
        <w:t>创新创业团队，</w:t>
      </w:r>
      <w:r>
        <w:rPr>
          <w:rFonts w:ascii="Times New Roman" w:hAnsi="Times New Roman"/>
          <w:sz w:val="24"/>
          <w:szCs w:val="24"/>
        </w:rPr>
        <w:t>以项目驱动的形式，调动大学生的学习积极性，培养和锻炼学生的创新意识、创业实践能力。学院2018年创建</w:t>
      </w:r>
      <w:r>
        <w:rPr>
          <w:rFonts w:asciiTheme="minorEastAsia" w:hAnsiTheme="minorEastAsia" w:eastAsiaTheme="minorEastAsia"/>
          <w:sz w:val="24"/>
          <w:szCs w:val="24"/>
        </w:rPr>
        <w:t>“</w:t>
      </w:r>
      <w:r>
        <w:rPr>
          <w:rFonts w:ascii="Times New Roman" w:hAnsi="Times New Roman" w:eastAsiaTheme="minorEastAsia"/>
          <w:sz w:val="24"/>
          <w:szCs w:val="24"/>
        </w:rPr>
        <w:t>E</w:t>
      </w:r>
      <w:r>
        <w:rPr>
          <w:rFonts w:asciiTheme="minorEastAsia" w:hAnsiTheme="minorEastAsia" w:eastAsiaTheme="minorEastAsia"/>
          <w:sz w:val="24"/>
          <w:szCs w:val="24"/>
        </w:rPr>
        <w:t>起畅享，指尖校园”生活服务站、“宠物训导与美容工作室”、“汽车之友大学生就业</w:t>
      </w:r>
      <w:r>
        <w:rPr>
          <w:rFonts w:ascii="Times New Roman" w:hAnsi="Times New Roman"/>
          <w:sz w:val="24"/>
          <w:szCs w:val="24"/>
        </w:rPr>
        <w:t>、创业、学习APP</w:t>
      </w:r>
      <w:r>
        <w:rPr>
          <w:rFonts w:asciiTheme="minorEastAsia" w:hAnsiTheme="minorEastAsia" w:eastAsiaTheme="minorEastAsia"/>
          <w:sz w:val="24"/>
          <w:szCs w:val="24"/>
        </w:rPr>
        <w:t>平台”</w:t>
      </w:r>
      <w:r>
        <w:rPr>
          <w:rFonts w:ascii="Times New Roman" w:hAnsi="Times New Roman"/>
          <w:sz w:val="24"/>
          <w:szCs w:val="24"/>
        </w:rPr>
        <w:t>、三叶草志愿者服务队、宠物协会等20个创新创业团队，并积极开展创新创业项目训练，</w:t>
      </w:r>
      <w:r>
        <w:rPr>
          <w:rFonts w:asciiTheme="minorEastAsia" w:hAnsiTheme="minorEastAsia" w:eastAsiaTheme="minorEastAsia"/>
          <w:sz w:val="24"/>
          <w:szCs w:val="24"/>
        </w:rPr>
        <w:t>“珍萃坊食品加工坊”“农机服务平台”“城市流浪犬治理公益项目”</w:t>
      </w:r>
      <w:r>
        <w:rPr>
          <w:rFonts w:ascii="Times New Roman" w:hAnsi="Times New Roman"/>
          <w:sz w:val="24"/>
          <w:szCs w:val="24"/>
        </w:rPr>
        <w:t>等 31项大学生</w:t>
      </w:r>
      <w:r>
        <w:rPr>
          <w:rFonts w:hint="eastAsia" w:ascii="宋体" w:hAnsi="宋体"/>
          <w:sz w:val="24"/>
          <w:szCs w:val="24"/>
        </w:rPr>
        <w:t>创新创业训练计划项目先后按时间进度顺利实施，成效</w:t>
      </w:r>
      <w:r>
        <w:rPr>
          <w:rFonts w:hint="eastAsia" w:ascii="宋体" w:hAnsi="宋体" w:cs="宋体"/>
          <w:kern w:val="0"/>
          <w:sz w:val="24"/>
          <w:szCs w:val="24"/>
        </w:rPr>
        <w:t>良好。</w:t>
      </w:r>
      <w:r>
        <w:rPr>
          <w:rFonts w:hint="eastAsia" w:ascii="宋体" w:hAnsi="宋体"/>
          <w:sz w:val="24"/>
          <w:szCs w:val="24"/>
        </w:rPr>
        <w:t>三</w:t>
      </w:r>
      <w:r>
        <w:rPr>
          <w:rFonts w:ascii="宋体" w:hAnsi="宋体"/>
          <w:sz w:val="24"/>
          <w:szCs w:val="24"/>
        </w:rPr>
        <w:t>是</w:t>
      </w:r>
      <w:r>
        <w:rPr>
          <w:rFonts w:hint="eastAsia" w:ascii="宋体" w:hAnsi="宋体"/>
          <w:sz w:val="24"/>
          <w:szCs w:val="24"/>
        </w:rPr>
        <w:t>积极组织遴选优秀团队参加各级各类学生技能竞赛，提升学生专业技术能力与综合能力，</w:t>
      </w:r>
      <w:r>
        <w:rPr>
          <w:rFonts w:ascii="宋体" w:hAnsi="宋体"/>
          <w:sz w:val="24"/>
          <w:szCs w:val="24"/>
        </w:rPr>
        <w:t>取得了喜人的成绩</w:t>
      </w:r>
      <w:r>
        <w:rPr>
          <w:rFonts w:hint="eastAsia" w:ascii="宋体" w:hAnsi="宋体"/>
          <w:sz w:val="24"/>
          <w:szCs w:val="24"/>
        </w:rPr>
        <w:t>。其中，电子信息工程系参赛队获“电子产品芯片级检测维修与数据恢复”赛项三等奖；机械工程系参赛队获“工业产品数字化设计与制造”赛项三等奖；兽医系两支参赛队分别获“鸡新城疫抗体水平测试”赛项一等奖和三等奖；教师贾志江、任作宝分别获“优秀指导教师”奖。我院兽医系代表队在教育部主办的第四届“雄鹰杯”小动物医师技能大赛中获得大学生组团体二等奖，田启会、张潇文、李宗才获优秀辅导老师奖。四</w:t>
      </w:r>
      <w:r>
        <w:rPr>
          <w:rFonts w:ascii="宋体" w:hAnsi="宋体"/>
          <w:sz w:val="24"/>
          <w:szCs w:val="24"/>
        </w:rPr>
        <w:t>是</w:t>
      </w:r>
      <w:r>
        <w:rPr>
          <w:rFonts w:hint="eastAsia" w:ascii="宋体" w:hAnsi="宋体"/>
          <w:sz w:val="24"/>
          <w:szCs w:val="24"/>
        </w:rPr>
        <w:t>组织遴选优秀团队参加各级各类创新创业竞赛，切实达到以赛促学、以赛促教、以赛促创、以赛促改的目的。其中</w:t>
      </w:r>
      <w:r>
        <w:rPr>
          <w:rFonts w:ascii="宋体" w:hAnsi="宋体"/>
          <w:sz w:val="24"/>
          <w:szCs w:val="24"/>
        </w:rPr>
        <w:t>，在教育部、省教育厅主办的</w:t>
      </w:r>
      <w:r>
        <w:rPr>
          <w:rFonts w:hint="eastAsia" w:ascii="宋体" w:hAnsi="宋体"/>
          <w:sz w:val="24"/>
          <w:szCs w:val="24"/>
        </w:rPr>
        <w:t>第八届全国大学生电子商务“创新、创意及创业”挑战赛中</w:t>
      </w:r>
      <w:r>
        <w:rPr>
          <w:rFonts w:ascii="宋体" w:hAnsi="宋体"/>
          <w:sz w:val="24"/>
          <w:szCs w:val="24"/>
        </w:rPr>
        <w:t>，</w:t>
      </w:r>
      <w:r>
        <w:rPr>
          <w:rFonts w:hint="eastAsia" w:ascii="宋体" w:hAnsi="宋体"/>
          <w:sz w:val="24"/>
          <w:szCs w:val="24"/>
        </w:rPr>
        <w:t>邢玲玲老师指导“梦飞扬美购到家”获得省级决赛二等奖；</w:t>
      </w:r>
      <w:r>
        <w:rPr>
          <w:rFonts w:ascii="宋体" w:hAnsi="宋体"/>
          <w:sz w:val="24"/>
          <w:szCs w:val="24"/>
        </w:rPr>
        <w:t xml:space="preserve"> </w:t>
      </w:r>
      <w:r>
        <w:rPr>
          <w:rFonts w:hint="eastAsia" w:ascii="宋体" w:hAnsi="宋体"/>
          <w:sz w:val="24"/>
          <w:szCs w:val="24"/>
        </w:rPr>
        <w:t>由共青团中央、教育部、人力资源和社会保障部等</w:t>
      </w:r>
      <w:r>
        <w:rPr>
          <w:rFonts w:ascii="宋体" w:hAnsi="宋体"/>
          <w:sz w:val="24"/>
          <w:szCs w:val="24"/>
        </w:rPr>
        <w:t>部门</w:t>
      </w:r>
      <w:r>
        <w:rPr>
          <w:rFonts w:hint="eastAsia" w:ascii="宋体" w:hAnsi="宋体"/>
          <w:sz w:val="24"/>
          <w:szCs w:val="24"/>
        </w:rPr>
        <w:t>主办的“挑战杯--彩虹人生”全国职业学校创新创效创业大赛中，学院</w:t>
      </w:r>
      <w:r>
        <w:rPr>
          <w:rFonts w:ascii="宋体" w:hAnsi="宋体"/>
          <w:sz w:val="24"/>
          <w:szCs w:val="24"/>
        </w:rPr>
        <w:t>推选的</w:t>
      </w:r>
      <w:r>
        <w:rPr>
          <w:rFonts w:hint="eastAsia" w:ascii="宋体" w:hAnsi="宋体"/>
          <w:sz w:val="24"/>
          <w:szCs w:val="24"/>
        </w:rPr>
        <w:t>“无水冰糖皇冠梨软罐头”项目顺利入围国赛并荣获国家级三等奖；由</w:t>
      </w:r>
      <w:r>
        <w:rPr>
          <w:rFonts w:ascii="宋体" w:hAnsi="宋体"/>
          <w:sz w:val="24"/>
          <w:szCs w:val="24"/>
        </w:rPr>
        <w:t>省科技厅、人社厅、教育厅、共青团省委联合举办的</w:t>
      </w:r>
      <w:r>
        <w:rPr>
          <w:rFonts w:hint="eastAsia" w:ascii="宋体" w:hAnsi="宋体"/>
          <w:sz w:val="24"/>
          <w:szCs w:val="24"/>
        </w:rPr>
        <w:t>兰州银行杯”甘肃省第八届大学生创新创业大赛暨第四届“创青春”中国青年创新创业大赛（甘肃赛区）中，由田启会老师指导的《陇原同行、城市流浪犬治理公益项目》成功晋级国赛，获2018年"创青春"全国大学生创业大赛公益创业赛铜奖；由全国农业职业教育指导委员会、中国现代畜牧业职教集团、山东省畜牧职业教育集团共同举办的“中牧杯”第二届全国“互联</w:t>
      </w:r>
      <w:r>
        <w:rPr>
          <w:rFonts w:ascii="宋体" w:hAnsi="宋体"/>
          <w:sz w:val="24"/>
          <w:szCs w:val="24"/>
        </w:rPr>
        <w:drawing>
          <wp:inline distT="0" distB="0" distL="0" distR="0">
            <wp:extent cx="9525" cy="9525"/>
            <wp:effectExtent l="0" t="0" r="0" b="0"/>
            <wp:docPr id="24" name="loading_jeru8c35" descr="http://xmgcedu.cn/Admin/Content/Assets/UEditor/themes/default/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ading_jeru8c35" descr="http://xmgcedu.cn/Admin/Content/Assets/UEditor/themes/default/images/spacer.gif"/>
                    <pic:cNvPicPr>
                      <a:picLocks noChangeAspect="1" noChangeArrowheads="1"/>
                    </pic:cNvPicPr>
                  </pic:nvPicPr>
                  <pic:blipFill>
                    <a:blip r:embed="rId21"/>
                    <a:srcRect/>
                    <a:stretch>
                      <a:fillRect/>
                    </a:stretch>
                  </pic:blipFill>
                  <pic:spPr>
                    <a:xfrm>
                      <a:off x="0" y="0"/>
                      <a:ext cx="9525" cy="9525"/>
                    </a:xfrm>
                    <a:prstGeom prst="rect">
                      <a:avLst/>
                    </a:prstGeom>
                    <a:noFill/>
                    <a:ln w="9525">
                      <a:noFill/>
                      <a:miter lim="800000"/>
                      <a:headEnd/>
                      <a:tailEnd/>
                    </a:ln>
                  </pic:spPr>
                </pic:pic>
              </a:graphicData>
            </a:graphic>
          </wp:inline>
        </w:drawing>
      </w:r>
      <w:r>
        <w:rPr>
          <w:rFonts w:hint="eastAsia" w:ascii="宋体" w:hAnsi="宋体"/>
          <w:sz w:val="24"/>
          <w:szCs w:val="24"/>
        </w:rPr>
        <w:t>网+”现代农牧业创新创业大赛决赛中，教师组课程项目《草编艺术》获二等奖，《宠物疾病诊治》和《现代农业装备运用于维修技术远程教育平台体系建设》均获三等奖。学生组创新创业项目《野生盐水牛蒡罐头》获二等奖，《基于物联网技术的生鲜电商一体化服务平台》和《无水冰糖皇冠梨软罐头》均获三等奖；由共青团甘肃省委主办的“甘肃省青年志愿服务项目大赛暨2018志愿服务交流会”中，我院推选的项目《城市流浪犬治理公益项目》荣获银奖。</w:t>
      </w:r>
      <w:bookmarkStart w:id="53" w:name="_Toc438627739"/>
    </w:p>
    <w:bookmarkEnd w:id="53"/>
    <w:p>
      <w:pPr>
        <w:pStyle w:val="4"/>
        <w:spacing w:before="0" w:after="0" w:line="500" w:lineRule="exact"/>
        <w:ind w:firstLine="562" w:firstLineChars="200"/>
        <w:rPr>
          <w:sz w:val="28"/>
          <w:szCs w:val="28"/>
        </w:rPr>
      </w:pPr>
      <w:bookmarkStart w:id="54" w:name="_Toc533861934"/>
      <w:r>
        <w:rPr>
          <w:rFonts w:hint="eastAsia"/>
          <w:sz w:val="28"/>
          <w:szCs w:val="28"/>
        </w:rPr>
        <w:t>（六）举办校园招聘会，搭建毕业生就业平台</w:t>
      </w:r>
      <w:bookmarkEnd w:id="54"/>
      <w:r>
        <w:rPr>
          <w:sz w:val="28"/>
          <w:szCs w:val="28"/>
        </w:rPr>
        <w:t xml:space="preserve"> </w:t>
      </w:r>
    </w:p>
    <w:p>
      <w:pPr>
        <w:spacing w:line="500" w:lineRule="exact"/>
        <w:ind w:firstLine="480" w:firstLineChars="200"/>
        <w:rPr>
          <w:rFonts w:ascii="宋体" w:hAnsi="宋体"/>
          <w:sz w:val="24"/>
          <w:szCs w:val="24"/>
        </w:rPr>
      </w:pPr>
      <w:r>
        <w:rPr>
          <w:rFonts w:ascii="宋体" w:hAnsi="宋体"/>
          <w:sz w:val="24"/>
          <w:szCs w:val="24"/>
        </w:rPr>
        <w:t>2017</w:t>
      </w:r>
      <w:r>
        <w:rPr>
          <w:rFonts w:hint="eastAsia" w:ascii="宋体" w:hAnsi="宋体"/>
          <w:sz w:val="24"/>
          <w:szCs w:val="24"/>
        </w:rPr>
        <w:t>年</w:t>
      </w:r>
      <w:r>
        <w:rPr>
          <w:rFonts w:ascii="宋体" w:hAnsi="宋体"/>
          <w:sz w:val="24"/>
          <w:szCs w:val="24"/>
        </w:rPr>
        <w:t>11</w:t>
      </w:r>
      <w:r>
        <w:rPr>
          <w:rFonts w:hint="eastAsia" w:ascii="宋体" w:hAnsi="宋体"/>
          <w:sz w:val="24"/>
          <w:szCs w:val="24"/>
        </w:rPr>
        <w:t>月、</w:t>
      </w:r>
      <w:r>
        <w:rPr>
          <w:rFonts w:ascii="宋体" w:hAnsi="宋体"/>
          <w:sz w:val="24"/>
          <w:szCs w:val="24"/>
        </w:rPr>
        <w:t>2018</w:t>
      </w:r>
      <w:r>
        <w:rPr>
          <w:rFonts w:hint="eastAsia" w:ascii="宋体" w:hAnsi="宋体"/>
          <w:sz w:val="24"/>
          <w:szCs w:val="24"/>
        </w:rPr>
        <w:t>年</w:t>
      </w:r>
      <w:r>
        <w:rPr>
          <w:rFonts w:ascii="宋体" w:hAnsi="宋体"/>
          <w:sz w:val="24"/>
          <w:szCs w:val="24"/>
        </w:rPr>
        <w:t>5</w:t>
      </w:r>
      <w:r>
        <w:rPr>
          <w:rFonts w:hint="eastAsia" w:ascii="宋体" w:hAnsi="宋体"/>
          <w:sz w:val="24"/>
          <w:szCs w:val="24"/>
        </w:rPr>
        <w:t>月，学院先后两次举办了</w:t>
      </w:r>
      <w:r>
        <w:rPr>
          <w:rFonts w:ascii="宋体" w:hAnsi="宋体"/>
          <w:sz w:val="24"/>
          <w:szCs w:val="24"/>
        </w:rPr>
        <w:t>2018</w:t>
      </w:r>
      <w:r>
        <w:rPr>
          <w:rFonts w:hint="eastAsia" w:ascii="宋体" w:hAnsi="宋体"/>
          <w:sz w:val="24"/>
          <w:szCs w:val="24"/>
        </w:rPr>
        <w:t>届畜牧兽医类和工科类毕业生供需见面洽谈会，邀请到北京大北农集团、雏鹰农牧（内蒙古）有限责任公司、新疆梅花集团、新疆天业集团、西部牧业、新疆八一钢铁有限公司、新疆金晖兆丰能源有限公司、甘肃国芯生物电子科技有限公司、温州天球电器有限公司、兰州正大有限公司、东方希望集团、新疆建设兵团、宁波天邦集团、南京雨润集团、北京芭比堂宠物医院、北京正东东兴宠物医院、甘肃农垦饮马牧业有限责任公司、天津三安光电有限公司、杭州海康威视电子有限公司等来自省内外的</w:t>
      </w:r>
      <w:r>
        <w:rPr>
          <w:rFonts w:ascii="宋体" w:hAnsi="宋体"/>
          <w:sz w:val="24"/>
          <w:szCs w:val="24"/>
        </w:rPr>
        <w:t>160</w:t>
      </w:r>
      <w:r>
        <w:rPr>
          <w:rFonts w:hint="eastAsia" w:ascii="宋体" w:hAnsi="宋体"/>
          <w:sz w:val="24"/>
          <w:szCs w:val="24"/>
        </w:rPr>
        <w:t>多家用人单位，</w:t>
      </w:r>
      <w:r>
        <w:rPr>
          <w:rFonts w:ascii="宋体" w:hAnsi="宋体"/>
          <w:sz w:val="24"/>
          <w:szCs w:val="24"/>
        </w:rPr>
        <w:t>2500</w:t>
      </w:r>
      <w:r>
        <w:rPr>
          <w:rFonts w:hint="eastAsia" w:ascii="宋体" w:hAnsi="宋体"/>
          <w:sz w:val="24"/>
          <w:szCs w:val="24"/>
        </w:rPr>
        <w:t>多名毕业生到场应聘，供求比</w:t>
      </w:r>
      <w:r>
        <w:rPr>
          <w:rFonts w:ascii="宋体" w:hAnsi="宋体"/>
          <w:sz w:val="24"/>
          <w:szCs w:val="24"/>
        </w:rPr>
        <w:t>1:3</w:t>
      </w:r>
      <w:r>
        <w:rPr>
          <w:rFonts w:hint="eastAsia" w:ascii="宋体" w:hAnsi="宋体"/>
          <w:sz w:val="24"/>
          <w:szCs w:val="24"/>
        </w:rPr>
        <w:t>，</w:t>
      </w:r>
      <w:r>
        <w:rPr>
          <w:rFonts w:ascii="宋体" w:hAnsi="宋体"/>
          <w:sz w:val="24"/>
          <w:szCs w:val="24"/>
        </w:rPr>
        <w:t>2400</w:t>
      </w:r>
      <w:r>
        <w:rPr>
          <w:rFonts w:hint="eastAsia" w:ascii="宋体" w:hAnsi="宋体"/>
          <w:sz w:val="24"/>
          <w:szCs w:val="24"/>
        </w:rPr>
        <w:t>多名毕业生与用人单位达成了就业意向并签订就业实习协议。</w:t>
      </w:r>
    </w:p>
    <w:p>
      <w:pPr>
        <w:pStyle w:val="4"/>
        <w:spacing w:before="0" w:after="0" w:line="500" w:lineRule="exact"/>
        <w:ind w:firstLine="562" w:firstLineChars="200"/>
        <w:rPr>
          <w:sz w:val="28"/>
          <w:szCs w:val="28"/>
        </w:rPr>
      </w:pPr>
      <w:bookmarkStart w:id="55" w:name="_Toc533861935"/>
      <w:r>
        <w:rPr>
          <w:rFonts w:hint="eastAsia"/>
          <w:sz w:val="28"/>
          <w:szCs w:val="28"/>
        </w:rPr>
        <w:t>（七）实施精准帮扶</w:t>
      </w:r>
      <w:r>
        <w:rPr>
          <w:sz w:val="28"/>
          <w:szCs w:val="28"/>
        </w:rPr>
        <w:t>，</w:t>
      </w:r>
      <w:r>
        <w:rPr>
          <w:rFonts w:hint="eastAsia"/>
          <w:sz w:val="28"/>
          <w:szCs w:val="28"/>
        </w:rPr>
        <w:t>助力</w:t>
      </w:r>
      <w:r>
        <w:rPr>
          <w:sz w:val="28"/>
          <w:szCs w:val="28"/>
        </w:rPr>
        <w:t>困难家庭学生充分就业</w:t>
      </w:r>
      <w:bookmarkEnd w:id="55"/>
    </w:p>
    <w:p>
      <w:pPr>
        <w:spacing w:line="500" w:lineRule="exact"/>
        <w:ind w:firstLine="480" w:firstLineChars="200"/>
        <w:rPr>
          <w:rFonts w:ascii="宋体" w:hAnsi="宋体"/>
          <w:sz w:val="24"/>
          <w:szCs w:val="24"/>
        </w:rPr>
      </w:pPr>
      <w:r>
        <w:rPr>
          <w:rFonts w:hint="eastAsia" w:ascii="宋体" w:hAnsi="宋体"/>
          <w:sz w:val="24"/>
          <w:szCs w:val="24"/>
        </w:rPr>
        <w:t>根据省教育厅《关于做好普通高等学校建档立卡贫困家庭毕业生就业工作的通知》（甘教办函〔2018〕13号）精神，进一步贯彻</w:t>
      </w:r>
      <w:r>
        <w:rPr>
          <w:rFonts w:ascii="宋体" w:hAnsi="宋体"/>
          <w:sz w:val="24"/>
          <w:szCs w:val="24"/>
        </w:rPr>
        <w:t>落实教育厅党组关于</w:t>
      </w:r>
      <w:r>
        <w:rPr>
          <w:rFonts w:hint="eastAsia" w:ascii="宋体" w:hAnsi="宋体"/>
          <w:sz w:val="24"/>
          <w:szCs w:val="24"/>
        </w:rPr>
        <w:t>困难家庭学生“不就业</w:t>
      </w:r>
      <w:r>
        <w:rPr>
          <w:rFonts w:ascii="宋体" w:hAnsi="宋体"/>
          <w:sz w:val="24"/>
          <w:szCs w:val="24"/>
        </w:rPr>
        <w:t>、不脱手</w:t>
      </w:r>
      <w:r>
        <w:rPr>
          <w:rFonts w:hint="eastAsia" w:ascii="宋体" w:hAnsi="宋体"/>
          <w:sz w:val="24"/>
          <w:szCs w:val="24"/>
        </w:rPr>
        <w:t>”的</w:t>
      </w:r>
      <w:r>
        <w:rPr>
          <w:rFonts w:ascii="宋体" w:hAnsi="宋体"/>
          <w:sz w:val="24"/>
          <w:szCs w:val="24"/>
        </w:rPr>
        <w:t>要求</w:t>
      </w:r>
      <w:r>
        <w:rPr>
          <w:rFonts w:hint="eastAsia" w:ascii="宋体" w:hAnsi="宋体"/>
          <w:sz w:val="24"/>
          <w:szCs w:val="24"/>
        </w:rPr>
        <w:t>，学院</w:t>
      </w:r>
      <w:r>
        <w:rPr>
          <w:rFonts w:ascii="宋体" w:hAnsi="宋体"/>
          <w:sz w:val="24"/>
          <w:szCs w:val="24"/>
        </w:rPr>
        <w:t>成立就业</w:t>
      </w:r>
      <w:r>
        <w:rPr>
          <w:rFonts w:hint="eastAsia" w:ascii="宋体" w:hAnsi="宋体"/>
          <w:sz w:val="24"/>
          <w:szCs w:val="24"/>
        </w:rPr>
        <w:t>创业</w:t>
      </w:r>
      <w:r>
        <w:rPr>
          <w:rFonts w:ascii="宋体" w:hAnsi="宋体"/>
          <w:sz w:val="24"/>
          <w:szCs w:val="24"/>
        </w:rPr>
        <w:t>帮扶工作领导小组，</w:t>
      </w:r>
      <w:r>
        <w:rPr>
          <w:rFonts w:hint="eastAsia" w:ascii="宋体" w:hAnsi="宋体"/>
          <w:sz w:val="24"/>
          <w:szCs w:val="24"/>
        </w:rPr>
        <w:t>建立</w:t>
      </w:r>
      <w:r>
        <w:rPr>
          <w:rFonts w:ascii="宋体" w:hAnsi="宋体"/>
          <w:sz w:val="24"/>
          <w:szCs w:val="24"/>
        </w:rPr>
        <w:t>各部门齐抓共管的精准帮扶机制，</w:t>
      </w:r>
      <w:r>
        <w:rPr>
          <w:rFonts w:hint="eastAsia" w:ascii="宋体" w:hAnsi="宋体"/>
          <w:sz w:val="24"/>
          <w:szCs w:val="24"/>
        </w:rPr>
        <w:t>采取“一对一”指导</w:t>
      </w:r>
      <w:r>
        <w:rPr>
          <w:rFonts w:ascii="宋体" w:hAnsi="宋体"/>
          <w:sz w:val="24"/>
          <w:szCs w:val="24"/>
        </w:rPr>
        <w:t>和</w:t>
      </w:r>
      <w:r>
        <w:rPr>
          <w:rFonts w:hint="eastAsia" w:ascii="宋体" w:hAnsi="宋体"/>
          <w:sz w:val="24"/>
          <w:szCs w:val="24"/>
        </w:rPr>
        <w:t>精准帮扶措施，</w:t>
      </w:r>
      <w:r>
        <w:rPr>
          <w:rFonts w:ascii="宋体" w:hAnsi="宋体"/>
          <w:sz w:val="24"/>
          <w:szCs w:val="24"/>
        </w:rPr>
        <w:t>实行一生一策动态管理</w:t>
      </w:r>
      <w:r>
        <w:rPr>
          <w:rFonts w:hint="eastAsia" w:ascii="宋体" w:hAnsi="宋体"/>
          <w:sz w:val="24"/>
          <w:szCs w:val="24"/>
        </w:rPr>
        <w:t>，保证</w:t>
      </w:r>
      <w:r>
        <w:rPr>
          <w:rFonts w:ascii="宋体" w:hAnsi="宋体"/>
          <w:sz w:val="24"/>
          <w:szCs w:val="24"/>
        </w:rPr>
        <w:t>困难家庭学生的就业帮扶工作落实到实处</w:t>
      </w:r>
      <w:r>
        <w:rPr>
          <w:rFonts w:hint="eastAsia" w:ascii="宋体" w:hAnsi="宋体"/>
          <w:sz w:val="24"/>
          <w:szCs w:val="24"/>
        </w:rPr>
        <w:t>，以</w:t>
      </w:r>
      <w:r>
        <w:rPr>
          <w:rFonts w:ascii="宋体" w:hAnsi="宋体"/>
          <w:sz w:val="24"/>
          <w:szCs w:val="24"/>
        </w:rPr>
        <w:t>提高</w:t>
      </w:r>
      <w:r>
        <w:rPr>
          <w:rFonts w:hint="eastAsia" w:ascii="宋体" w:hAnsi="宋体"/>
          <w:sz w:val="24"/>
          <w:szCs w:val="24"/>
        </w:rPr>
        <w:t>学院2018届困难家庭</w:t>
      </w:r>
      <w:r>
        <w:rPr>
          <w:rFonts w:ascii="宋体" w:hAnsi="宋体"/>
          <w:sz w:val="24"/>
          <w:szCs w:val="24"/>
        </w:rPr>
        <w:t>毕业生的就业率和就业质量。</w:t>
      </w:r>
      <w:r>
        <w:rPr>
          <w:rFonts w:hint="eastAsia" w:ascii="宋体" w:hAnsi="宋体"/>
          <w:sz w:val="24"/>
          <w:szCs w:val="24"/>
        </w:rPr>
        <w:t>精准帮扶措施</w:t>
      </w:r>
      <w:r>
        <w:rPr>
          <w:rFonts w:ascii="宋体" w:hAnsi="宋体"/>
          <w:sz w:val="24"/>
          <w:szCs w:val="24"/>
        </w:rPr>
        <w:t>包括</w:t>
      </w:r>
      <w:r>
        <w:rPr>
          <w:rFonts w:hint="eastAsia" w:ascii="宋体" w:hAnsi="宋体"/>
          <w:sz w:val="24"/>
          <w:szCs w:val="24"/>
        </w:rPr>
        <w:t>：奖助学金评定重点倾斜、学费及住宿费减免、积极申领求职创业补贴等经济资助</w:t>
      </w:r>
      <w:r>
        <w:rPr>
          <w:rFonts w:ascii="宋体" w:hAnsi="宋体"/>
          <w:sz w:val="24"/>
          <w:szCs w:val="24"/>
        </w:rPr>
        <w:t>政策</w:t>
      </w:r>
      <w:r>
        <w:rPr>
          <w:rFonts w:hint="eastAsia" w:ascii="宋体" w:hAnsi="宋体"/>
          <w:sz w:val="24"/>
          <w:szCs w:val="24"/>
        </w:rPr>
        <w:t>，以帮助困难家庭学生顺利完成学业；邀请</w:t>
      </w:r>
      <w:r>
        <w:rPr>
          <w:rFonts w:ascii="宋体" w:hAnsi="宋体"/>
          <w:sz w:val="24"/>
          <w:szCs w:val="24"/>
        </w:rPr>
        <w:t>校内外专家</w:t>
      </w:r>
      <w:r>
        <w:rPr>
          <w:rFonts w:hint="eastAsia" w:ascii="宋体" w:hAnsi="宋体"/>
          <w:sz w:val="24"/>
          <w:szCs w:val="24"/>
        </w:rPr>
        <w:t>积极</w:t>
      </w:r>
      <w:r>
        <w:rPr>
          <w:rFonts w:ascii="宋体" w:hAnsi="宋体"/>
          <w:sz w:val="24"/>
          <w:szCs w:val="24"/>
        </w:rPr>
        <w:t>开展心理健康教育专题讲座，解决普遍存在的</w:t>
      </w:r>
      <w:r>
        <w:rPr>
          <w:rFonts w:hint="eastAsia" w:ascii="宋体" w:hAnsi="宋体"/>
          <w:sz w:val="24"/>
          <w:szCs w:val="24"/>
        </w:rPr>
        <w:t>急躁不安、急功近利、自卑自负及盲目从众等</w:t>
      </w:r>
      <w:r>
        <w:rPr>
          <w:rFonts w:ascii="宋体" w:hAnsi="宋体"/>
          <w:sz w:val="24"/>
          <w:szCs w:val="24"/>
        </w:rPr>
        <w:t>突出心理问题，</w:t>
      </w:r>
      <w:r>
        <w:rPr>
          <w:rFonts w:hint="eastAsia" w:ascii="宋体" w:hAnsi="宋体"/>
          <w:sz w:val="24"/>
          <w:szCs w:val="24"/>
        </w:rPr>
        <w:t>提升毕业生就业创业能力和就业自信；借助</w:t>
      </w:r>
      <w:r>
        <w:rPr>
          <w:rFonts w:ascii="宋体" w:hAnsi="宋体"/>
          <w:sz w:val="24"/>
          <w:szCs w:val="24"/>
        </w:rPr>
        <w:t>信息化平台定期发布就业招聘信息，提供就业创业机会</w:t>
      </w:r>
      <w:r>
        <w:rPr>
          <w:rFonts w:hint="eastAsia" w:ascii="宋体" w:hAnsi="宋体"/>
          <w:sz w:val="24"/>
          <w:szCs w:val="24"/>
        </w:rPr>
        <w:t>；学院与北京大北农集团、温州天球电器有限公司、浙江晶科能源有限公司等企业开展深度校企合作，建立精准扶贫“双零”培养（即“零学费”就学,“零距离”就业）模式，实现“培养一人、输出一人、脱贫一户”的目标。</w:t>
      </w:r>
    </w:p>
    <w:p>
      <w:pPr>
        <w:spacing w:line="500" w:lineRule="exact"/>
        <w:ind w:firstLine="480" w:firstLineChars="200"/>
        <w:rPr>
          <w:rFonts w:ascii="宋体" w:hAnsi="宋体"/>
          <w:sz w:val="24"/>
          <w:szCs w:val="24"/>
        </w:rPr>
      </w:pPr>
      <w:r>
        <w:rPr>
          <w:rFonts w:hint="eastAsia" w:ascii="宋体" w:hAnsi="宋体"/>
          <w:sz w:val="24"/>
          <w:szCs w:val="24"/>
        </w:rPr>
        <w:t>通过不懈努力</w:t>
      </w:r>
      <w:r>
        <w:rPr>
          <w:rFonts w:ascii="宋体" w:hAnsi="宋体"/>
          <w:sz w:val="24"/>
          <w:szCs w:val="24"/>
        </w:rPr>
        <w:t>，</w:t>
      </w:r>
      <w:r>
        <w:rPr>
          <w:rFonts w:hint="eastAsia" w:ascii="宋体" w:hAnsi="宋体"/>
          <w:sz w:val="24"/>
          <w:szCs w:val="24"/>
        </w:rPr>
        <w:t>截至目前，学院2018届817名贫困家庭</w:t>
      </w:r>
      <w:r>
        <w:rPr>
          <w:rFonts w:ascii="宋体" w:hAnsi="宋体"/>
          <w:sz w:val="24"/>
          <w:szCs w:val="24"/>
        </w:rPr>
        <w:t>学生</w:t>
      </w:r>
      <w:r>
        <w:rPr>
          <w:rFonts w:hint="eastAsia" w:ascii="宋体" w:hAnsi="宋体"/>
          <w:sz w:val="24"/>
          <w:szCs w:val="24"/>
        </w:rPr>
        <w:t>中768人</w:t>
      </w:r>
      <w:r>
        <w:rPr>
          <w:rFonts w:ascii="宋体" w:hAnsi="宋体"/>
          <w:sz w:val="24"/>
          <w:szCs w:val="24"/>
        </w:rPr>
        <w:t>已</w:t>
      </w:r>
      <w:r>
        <w:rPr>
          <w:rFonts w:hint="eastAsia" w:ascii="宋体" w:hAnsi="宋体"/>
          <w:sz w:val="24"/>
          <w:szCs w:val="24"/>
        </w:rPr>
        <w:t>妥善安置就业，暂未</w:t>
      </w:r>
      <w:r>
        <w:rPr>
          <w:rFonts w:ascii="宋体" w:hAnsi="宋体"/>
          <w:sz w:val="24"/>
          <w:szCs w:val="24"/>
        </w:rPr>
        <w:t>就业</w:t>
      </w:r>
      <w:r>
        <w:rPr>
          <w:rFonts w:hint="eastAsia" w:ascii="宋体" w:hAnsi="宋体"/>
          <w:sz w:val="24"/>
          <w:szCs w:val="24"/>
        </w:rPr>
        <w:t>49人</w:t>
      </w:r>
      <w:r>
        <w:rPr>
          <w:rFonts w:ascii="宋体" w:hAnsi="宋体"/>
          <w:sz w:val="24"/>
          <w:szCs w:val="24"/>
        </w:rPr>
        <w:t>，就业率达</w:t>
      </w:r>
      <w:r>
        <w:rPr>
          <w:rFonts w:hint="eastAsia" w:ascii="宋体" w:hAnsi="宋体"/>
          <w:sz w:val="24"/>
          <w:szCs w:val="24"/>
        </w:rPr>
        <w:t>94</w:t>
      </w:r>
      <w:r>
        <w:rPr>
          <w:rFonts w:ascii="宋体" w:hAnsi="宋体"/>
          <w:sz w:val="24"/>
          <w:szCs w:val="24"/>
        </w:rPr>
        <w:t>%。</w:t>
      </w:r>
      <w:r>
        <w:rPr>
          <w:rFonts w:hint="eastAsia" w:ascii="宋体" w:hAnsi="宋体"/>
          <w:sz w:val="24"/>
          <w:szCs w:val="24"/>
        </w:rPr>
        <w:t>对暂未就业学生学院将继续跟进，进一步</w:t>
      </w:r>
      <w:r>
        <w:rPr>
          <w:rFonts w:ascii="宋体" w:hAnsi="宋体"/>
          <w:sz w:val="24"/>
          <w:szCs w:val="24"/>
        </w:rPr>
        <w:t>加大帮扶力度，努力使毕业生更多更好的就业。</w:t>
      </w:r>
    </w:p>
    <w:p>
      <w:pPr>
        <w:pStyle w:val="3"/>
        <w:spacing w:before="0" w:after="0" w:line="500" w:lineRule="exact"/>
        <w:ind w:firstLine="562" w:firstLineChars="200"/>
        <w:rPr>
          <w:sz w:val="28"/>
          <w:szCs w:val="28"/>
        </w:rPr>
      </w:pPr>
      <w:bookmarkStart w:id="56" w:name="_Toc533861936"/>
      <w:r>
        <w:rPr>
          <w:rFonts w:hint="eastAsia"/>
          <w:sz w:val="28"/>
          <w:szCs w:val="28"/>
        </w:rPr>
        <w:t>三、校企合作与市场开发</w:t>
      </w:r>
      <w:bookmarkEnd w:id="56"/>
    </w:p>
    <w:p>
      <w:pPr>
        <w:pStyle w:val="4"/>
        <w:spacing w:before="0" w:after="0" w:line="500" w:lineRule="exact"/>
        <w:ind w:firstLine="562" w:firstLineChars="200"/>
        <w:rPr>
          <w:sz w:val="28"/>
          <w:szCs w:val="28"/>
        </w:rPr>
      </w:pPr>
      <w:bookmarkStart w:id="57" w:name="_Toc533861937"/>
      <w:r>
        <w:rPr>
          <w:rFonts w:hint="eastAsia"/>
          <w:sz w:val="28"/>
          <w:szCs w:val="28"/>
        </w:rPr>
        <w:t>（一）校企联办，订单培养</w:t>
      </w:r>
      <w:bookmarkEnd w:id="57"/>
    </w:p>
    <w:p>
      <w:pPr>
        <w:spacing w:line="500" w:lineRule="exact"/>
        <w:ind w:firstLine="480" w:firstLineChars="200"/>
        <w:rPr>
          <w:rFonts w:ascii="宋体"/>
          <w:sz w:val="24"/>
          <w:szCs w:val="24"/>
        </w:rPr>
      </w:pPr>
      <w:r>
        <w:rPr>
          <w:rFonts w:hint="eastAsia" w:ascii="宋体" w:hAnsi="宋体"/>
          <w:sz w:val="24"/>
          <w:szCs w:val="24"/>
        </w:rPr>
        <w:t>学院坚持产教融合、校企合作，先后与北京大北农集团、北京芭比堂宠物医院、北京正东东兴宠物医院、温州天球电器有限公司、东风商用车股份有限公司、陕西湖堰实业有限公司、新疆天康集团、北京恩宠天地商贸有限公司、铁骑力士饲料有限公司、青岛九联股份有限公司、甘肃达利食品有限公司（甘肃武威）等企业，拓展合作领域，商洽合作事宜，先后与北京大北农集团、北京芭比堂宠物医院、铁骑力士饲料有限公司、温州天球电器有限公司等公司达成了战略合作协议或合作意向，校企双方在师资共享、课程开发、教材编著、实习就业基地共建等方面进行了良好合作，成效显著。目前已开设有</w:t>
      </w:r>
      <w:r>
        <w:rPr>
          <w:rFonts w:hint="eastAsia" w:ascii="宋体"/>
          <w:sz w:val="24"/>
          <w:szCs w:val="24"/>
        </w:rPr>
        <w:t>“</w:t>
      </w:r>
      <w:r>
        <w:rPr>
          <w:rFonts w:hint="eastAsia" w:ascii="宋体" w:hAnsi="宋体"/>
          <w:sz w:val="24"/>
          <w:szCs w:val="24"/>
        </w:rPr>
        <w:t>大北农班</w:t>
      </w:r>
      <w:r>
        <w:rPr>
          <w:rFonts w:hint="eastAsia" w:ascii="宋体"/>
          <w:sz w:val="24"/>
          <w:szCs w:val="24"/>
        </w:rPr>
        <w:t>”</w:t>
      </w:r>
      <w:r>
        <w:rPr>
          <w:rFonts w:hint="eastAsia" w:ascii="宋体" w:hAnsi="宋体"/>
          <w:sz w:val="24"/>
          <w:szCs w:val="24"/>
        </w:rPr>
        <w:t>、</w:t>
      </w:r>
      <w:r>
        <w:rPr>
          <w:rFonts w:hint="eastAsia" w:ascii="宋体"/>
          <w:sz w:val="24"/>
          <w:szCs w:val="24"/>
        </w:rPr>
        <w:t>“</w:t>
      </w:r>
      <w:r>
        <w:rPr>
          <w:rFonts w:hint="eastAsia" w:ascii="宋体" w:hAnsi="宋体"/>
          <w:sz w:val="24"/>
          <w:szCs w:val="24"/>
        </w:rPr>
        <w:t>中粮班</w:t>
      </w:r>
      <w:r>
        <w:rPr>
          <w:rFonts w:hint="eastAsia" w:ascii="宋体"/>
          <w:sz w:val="24"/>
          <w:szCs w:val="24"/>
        </w:rPr>
        <w:t>”</w:t>
      </w:r>
      <w:r>
        <w:rPr>
          <w:rFonts w:hint="eastAsia" w:ascii="宋体" w:hAnsi="宋体"/>
          <w:sz w:val="24"/>
          <w:szCs w:val="24"/>
        </w:rPr>
        <w:t>、</w:t>
      </w:r>
      <w:r>
        <w:rPr>
          <w:rFonts w:hint="eastAsia" w:ascii="宋体"/>
          <w:sz w:val="24"/>
          <w:szCs w:val="24"/>
        </w:rPr>
        <w:t>“</w:t>
      </w:r>
      <w:r>
        <w:rPr>
          <w:rFonts w:hint="eastAsia" w:ascii="宋体" w:hAnsi="宋体"/>
          <w:sz w:val="24"/>
          <w:szCs w:val="24"/>
        </w:rPr>
        <w:t>恩宠班</w:t>
      </w:r>
      <w:r>
        <w:rPr>
          <w:rFonts w:hint="eastAsia" w:ascii="宋体"/>
          <w:sz w:val="24"/>
          <w:szCs w:val="24"/>
        </w:rPr>
        <w:t>”</w:t>
      </w:r>
      <w:r>
        <w:rPr>
          <w:rFonts w:hint="eastAsia" w:ascii="宋体" w:hAnsi="宋体"/>
          <w:sz w:val="24"/>
          <w:szCs w:val="24"/>
        </w:rPr>
        <w:t>、</w:t>
      </w:r>
      <w:r>
        <w:rPr>
          <w:rFonts w:hint="eastAsia" w:ascii="宋体"/>
          <w:sz w:val="24"/>
          <w:szCs w:val="24"/>
        </w:rPr>
        <w:t>“</w:t>
      </w:r>
      <w:r>
        <w:rPr>
          <w:rFonts w:hint="eastAsia" w:ascii="宋体" w:hAnsi="宋体"/>
          <w:sz w:val="24"/>
          <w:szCs w:val="24"/>
        </w:rPr>
        <w:t>天球班</w:t>
      </w:r>
      <w:r>
        <w:rPr>
          <w:rFonts w:hint="eastAsia" w:ascii="宋体"/>
          <w:sz w:val="24"/>
          <w:szCs w:val="24"/>
        </w:rPr>
        <w:t>”</w:t>
      </w:r>
      <w:r>
        <w:rPr>
          <w:rFonts w:hint="eastAsia" w:ascii="宋体" w:hAnsi="宋体"/>
          <w:sz w:val="24"/>
          <w:szCs w:val="24"/>
        </w:rPr>
        <w:t>、“东风班</w:t>
      </w:r>
      <w:r>
        <w:rPr>
          <w:rFonts w:hint="eastAsia" w:ascii="宋体"/>
          <w:sz w:val="24"/>
          <w:szCs w:val="24"/>
        </w:rPr>
        <w:t>”</w:t>
      </w:r>
      <w:r>
        <w:rPr>
          <w:rFonts w:hint="eastAsia" w:ascii="宋体" w:hAnsi="宋体"/>
          <w:sz w:val="24"/>
          <w:szCs w:val="24"/>
        </w:rPr>
        <w:t>、“芭比堂班</w:t>
      </w:r>
      <w:r>
        <w:rPr>
          <w:rFonts w:hint="eastAsia" w:ascii="宋体"/>
          <w:sz w:val="24"/>
          <w:szCs w:val="24"/>
        </w:rPr>
        <w:t>”</w:t>
      </w:r>
      <w:r>
        <w:rPr>
          <w:rFonts w:hint="eastAsia" w:ascii="宋体" w:hAnsi="宋体"/>
          <w:sz w:val="24"/>
          <w:szCs w:val="24"/>
        </w:rPr>
        <w:t>、</w:t>
      </w:r>
      <w:r>
        <w:rPr>
          <w:rFonts w:hint="eastAsia" w:ascii="宋体"/>
          <w:sz w:val="24"/>
          <w:szCs w:val="24"/>
        </w:rPr>
        <w:t>“</w:t>
      </w:r>
      <w:r>
        <w:rPr>
          <w:rFonts w:hint="eastAsia" w:ascii="宋体" w:hAnsi="宋体"/>
          <w:sz w:val="24"/>
          <w:szCs w:val="24"/>
        </w:rPr>
        <w:t>天康班</w:t>
      </w:r>
      <w:r>
        <w:rPr>
          <w:rFonts w:hint="eastAsia" w:ascii="宋体"/>
          <w:sz w:val="24"/>
          <w:szCs w:val="24"/>
        </w:rPr>
        <w:t>”</w:t>
      </w:r>
      <w:r>
        <w:rPr>
          <w:rFonts w:hint="eastAsia" w:ascii="宋体" w:hAnsi="宋体"/>
          <w:sz w:val="24"/>
          <w:szCs w:val="24"/>
        </w:rPr>
        <w:t>等订单班。</w:t>
      </w:r>
      <w:r>
        <w:rPr>
          <w:rFonts w:ascii="宋体" w:hAnsi="宋体"/>
          <w:sz w:val="24"/>
          <w:szCs w:val="24"/>
        </w:rPr>
        <w:t xml:space="preserve"> 2017</w:t>
      </w:r>
      <w:r>
        <w:rPr>
          <w:rFonts w:hint="eastAsia" w:ascii="宋体" w:hAnsi="宋体"/>
          <w:sz w:val="24"/>
          <w:szCs w:val="24"/>
        </w:rPr>
        <w:t>年是学院转型发展的关键年，学院曾多次召开订单项目专题会议，将订单培养作为学院转型升级的突破口和关键点。</w:t>
      </w:r>
      <w:r>
        <w:rPr>
          <w:rFonts w:ascii="宋体" w:hAnsi="宋体"/>
          <w:sz w:val="24"/>
          <w:szCs w:val="24"/>
        </w:rPr>
        <w:t>2017</w:t>
      </w:r>
      <w:r>
        <w:rPr>
          <w:rFonts w:hint="eastAsia" w:ascii="宋体" w:hAnsi="宋体"/>
          <w:sz w:val="24"/>
          <w:szCs w:val="24"/>
        </w:rPr>
        <w:t>年</w:t>
      </w:r>
      <w:r>
        <w:rPr>
          <w:rFonts w:ascii="宋体" w:hAnsi="宋体"/>
          <w:sz w:val="24"/>
          <w:szCs w:val="24"/>
        </w:rPr>
        <w:t>11</w:t>
      </w:r>
      <w:r>
        <w:rPr>
          <w:rFonts w:hint="eastAsia" w:ascii="宋体" w:hAnsi="宋体"/>
          <w:sz w:val="24"/>
          <w:szCs w:val="24"/>
        </w:rPr>
        <w:t>月</w:t>
      </w:r>
      <w:r>
        <w:rPr>
          <w:rFonts w:ascii="宋体" w:hAnsi="宋体"/>
          <w:sz w:val="24"/>
          <w:szCs w:val="24"/>
        </w:rPr>
        <w:t>18</w:t>
      </w:r>
      <w:r>
        <w:rPr>
          <w:rFonts w:hint="eastAsia" w:ascii="宋体" w:hAnsi="宋体"/>
          <w:sz w:val="24"/>
          <w:szCs w:val="24"/>
        </w:rPr>
        <w:t>日，学院与北京大北农集团签订了“双零”模式订单项目框架合作协议。截止目前，学校已有不同年级的订单班</w:t>
      </w:r>
      <w:r>
        <w:rPr>
          <w:rFonts w:ascii="宋体" w:hAnsi="宋体"/>
          <w:sz w:val="24"/>
          <w:szCs w:val="24"/>
        </w:rPr>
        <w:t>10</w:t>
      </w:r>
      <w:r>
        <w:rPr>
          <w:rFonts w:hint="eastAsia" w:ascii="宋体" w:hAnsi="宋体"/>
          <w:sz w:val="24"/>
          <w:szCs w:val="24"/>
        </w:rPr>
        <w:t>余个，在班人数超过</w:t>
      </w:r>
      <w:r>
        <w:rPr>
          <w:rFonts w:ascii="宋体" w:hAnsi="宋体"/>
          <w:sz w:val="24"/>
          <w:szCs w:val="24"/>
        </w:rPr>
        <w:t xml:space="preserve"> 500</w:t>
      </w:r>
      <w:r>
        <w:rPr>
          <w:rFonts w:hint="eastAsia" w:ascii="宋体" w:hAnsi="宋体"/>
          <w:sz w:val="24"/>
          <w:szCs w:val="24"/>
        </w:rPr>
        <w:t>余人，企业订单班需求人数占同年级学生人数近</w:t>
      </w:r>
      <w:r>
        <w:rPr>
          <w:rFonts w:ascii="宋体" w:hAnsi="宋体"/>
          <w:sz w:val="24"/>
          <w:szCs w:val="24"/>
        </w:rPr>
        <w:t xml:space="preserve"> 1/4</w:t>
      </w:r>
      <w:r>
        <w:rPr>
          <w:rFonts w:hint="eastAsia" w:ascii="宋体" w:hAnsi="宋体"/>
          <w:sz w:val="24"/>
          <w:szCs w:val="24"/>
        </w:rPr>
        <w:t>，该部分学生毕业后可以以预备员工或正式在编员工身份对应专门的岗位入司就业。实现了</w:t>
      </w:r>
      <w:r>
        <w:rPr>
          <w:rFonts w:hint="eastAsia" w:ascii="宋体"/>
          <w:sz w:val="24"/>
          <w:szCs w:val="24"/>
        </w:rPr>
        <w:t>“</w:t>
      </w:r>
      <w:r>
        <w:rPr>
          <w:rFonts w:hint="eastAsia" w:ascii="宋体" w:hAnsi="宋体"/>
          <w:sz w:val="24"/>
          <w:szCs w:val="24"/>
        </w:rPr>
        <w:t>人才共育、过程共管、义务共担、成果共享</w:t>
      </w:r>
      <w:r>
        <w:rPr>
          <w:rFonts w:hint="eastAsia" w:ascii="宋体"/>
          <w:sz w:val="24"/>
          <w:szCs w:val="24"/>
        </w:rPr>
        <w:t>”</w:t>
      </w:r>
      <w:r>
        <w:rPr>
          <w:rFonts w:hint="eastAsia" w:ascii="宋体" w:hAnsi="宋体"/>
          <w:sz w:val="24"/>
          <w:szCs w:val="24"/>
        </w:rPr>
        <w:t>，使校企合作机制长效化、常态化，有力地推动了学校整体的办学层次和办学品牌。通过“订单教育”和“零距离”培养，为学生搭建了就业</w:t>
      </w:r>
      <w:r>
        <w:rPr>
          <w:rFonts w:ascii="宋体" w:hAnsi="宋体"/>
          <w:sz w:val="24"/>
          <w:szCs w:val="24"/>
        </w:rPr>
        <w:t xml:space="preserve"> </w:t>
      </w:r>
      <w:r>
        <w:rPr>
          <w:rFonts w:hint="eastAsia" w:ascii="宋体" w:hAnsi="宋体"/>
          <w:sz w:val="24"/>
          <w:szCs w:val="24"/>
        </w:rPr>
        <w:t>“直通车”，</w:t>
      </w:r>
      <w:r>
        <w:rPr>
          <w:rFonts w:ascii="宋体" w:hAnsi="宋体"/>
          <w:sz w:val="24"/>
          <w:szCs w:val="24"/>
        </w:rPr>
        <w:t xml:space="preserve"> </w:t>
      </w:r>
      <w:r>
        <w:rPr>
          <w:rFonts w:hint="eastAsia" w:ascii="宋体" w:hAnsi="宋体"/>
          <w:sz w:val="24"/>
          <w:szCs w:val="24"/>
        </w:rPr>
        <w:t>通过校企合作带动学生就业，有</w:t>
      </w:r>
      <w:r>
        <w:rPr>
          <w:rFonts w:ascii="宋体" w:hAnsi="宋体"/>
          <w:sz w:val="24"/>
          <w:szCs w:val="24"/>
        </w:rPr>
        <w:t>96%</w:t>
      </w:r>
      <w:r>
        <w:rPr>
          <w:rFonts w:hint="eastAsia" w:ascii="宋体" w:hAnsi="宋体"/>
          <w:sz w:val="24"/>
          <w:szCs w:val="24"/>
        </w:rPr>
        <w:t xml:space="preserve">毕业生直接进入合作企业上岗。  </w:t>
      </w:r>
    </w:p>
    <w:p>
      <w:pPr>
        <w:pStyle w:val="4"/>
        <w:spacing w:before="0" w:after="0" w:line="500" w:lineRule="exact"/>
        <w:ind w:firstLine="562" w:firstLineChars="200"/>
        <w:rPr>
          <w:sz w:val="28"/>
          <w:szCs w:val="28"/>
        </w:rPr>
      </w:pPr>
      <w:bookmarkStart w:id="58" w:name="_Toc533861938"/>
      <w:r>
        <w:rPr>
          <w:rFonts w:hint="eastAsia"/>
          <w:sz w:val="28"/>
          <w:szCs w:val="28"/>
        </w:rPr>
        <w:t>（二）实习就业一体化，保障毕业生“零距离”就业</w:t>
      </w:r>
      <w:bookmarkEnd w:id="58"/>
      <w:r>
        <w:rPr>
          <w:sz w:val="28"/>
          <w:szCs w:val="28"/>
        </w:rPr>
        <w:t xml:space="preserve"> </w:t>
      </w:r>
    </w:p>
    <w:p>
      <w:pPr>
        <w:spacing w:line="500" w:lineRule="exact"/>
        <w:ind w:firstLine="480" w:firstLineChars="200"/>
        <w:rPr>
          <w:rFonts w:ascii="宋体"/>
          <w:sz w:val="24"/>
          <w:szCs w:val="24"/>
        </w:rPr>
      </w:pPr>
      <w:r>
        <w:rPr>
          <w:rFonts w:hint="eastAsia" w:ascii="宋体" w:hAnsi="宋体"/>
          <w:sz w:val="24"/>
          <w:szCs w:val="24"/>
        </w:rPr>
        <w:t>为了让我院学生完成从校内学习</w:t>
      </w:r>
      <w:r>
        <w:rPr>
          <w:rFonts w:ascii="宋体" w:hAnsi="宋体"/>
          <w:sz w:val="24"/>
          <w:szCs w:val="24"/>
        </w:rPr>
        <w:t>——</w:t>
      </w:r>
      <w:r>
        <w:rPr>
          <w:rFonts w:hint="eastAsia" w:ascii="宋体" w:hAnsi="宋体"/>
          <w:sz w:val="24"/>
          <w:szCs w:val="24"/>
        </w:rPr>
        <w:t>院外顶岗实习</w:t>
      </w:r>
      <w:r>
        <w:rPr>
          <w:rFonts w:ascii="宋体" w:hAnsi="宋体"/>
          <w:sz w:val="24"/>
          <w:szCs w:val="24"/>
        </w:rPr>
        <w:t>——</w:t>
      </w:r>
      <w:r>
        <w:rPr>
          <w:rFonts w:hint="eastAsia" w:ascii="宋体" w:hAnsi="宋体"/>
          <w:sz w:val="24"/>
          <w:szCs w:val="24"/>
        </w:rPr>
        <w:t>就业的无缝连接，我院狠抓了顶岗实习的过程管理：</w:t>
      </w:r>
    </w:p>
    <w:p>
      <w:pPr>
        <w:spacing w:line="500" w:lineRule="exact"/>
        <w:ind w:firstLine="480" w:firstLineChars="200"/>
        <w:rPr>
          <w:rFonts w:ascii="宋体"/>
          <w:sz w:val="24"/>
          <w:szCs w:val="24"/>
        </w:rPr>
      </w:pPr>
      <w:r>
        <w:rPr>
          <w:rFonts w:ascii="宋体" w:hAnsi="宋体"/>
          <w:sz w:val="24"/>
          <w:szCs w:val="24"/>
        </w:rPr>
        <w:t>1.</w:t>
      </w:r>
      <w:r>
        <w:rPr>
          <w:rFonts w:hint="eastAsia" w:ascii="宋体" w:hAnsi="宋体"/>
          <w:sz w:val="24"/>
          <w:szCs w:val="24"/>
        </w:rPr>
        <w:t>实习单位引进严格把关</w:t>
      </w:r>
      <w:r>
        <w:rPr>
          <w:rFonts w:ascii="宋体" w:hAnsi="宋体"/>
          <w:sz w:val="24"/>
          <w:szCs w:val="24"/>
        </w:rPr>
        <w:t xml:space="preserve">  </w:t>
      </w:r>
      <w:r>
        <w:rPr>
          <w:rFonts w:hint="eastAsia" w:ascii="宋体" w:hAnsi="宋体"/>
          <w:sz w:val="24"/>
          <w:szCs w:val="24"/>
        </w:rPr>
        <w:t>一是严格资质审定；二是口碑良好；三是岗位需求与我院专业对接；四是实地考察；五是在实习过程中通过电话（与公司和学</w:t>
      </w:r>
      <w:r>
        <w:rPr>
          <w:rFonts w:ascii="宋体" w:hAnsi="宋体"/>
          <w:sz w:val="24"/>
          <w:szCs w:val="24"/>
        </w:rPr>
        <w:t xml:space="preserve"> </w:t>
      </w:r>
      <w:r>
        <w:rPr>
          <w:rFonts w:hint="eastAsia" w:ascii="宋体" w:hAnsi="宋体"/>
          <w:sz w:val="24"/>
          <w:szCs w:val="24"/>
        </w:rPr>
        <w:t>生）巡访、到公司实地巡查、举行实训学生座谈会等多种形式，了解学生在公司</w:t>
      </w:r>
      <w:r>
        <w:rPr>
          <w:rFonts w:ascii="宋体" w:hAnsi="宋体"/>
          <w:sz w:val="24"/>
          <w:szCs w:val="24"/>
        </w:rPr>
        <w:t xml:space="preserve"> </w:t>
      </w:r>
      <w:r>
        <w:rPr>
          <w:rFonts w:hint="eastAsia" w:ascii="宋体" w:hAnsi="宋体"/>
          <w:sz w:val="24"/>
          <w:szCs w:val="24"/>
        </w:rPr>
        <w:t>实习的情况，对不适合的单位及时淘汰。通过以上几个环节的把控，确保了我院</w:t>
      </w:r>
      <w:r>
        <w:rPr>
          <w:rFonts w:ascii="宋体" w:hAnsi="宋体"/>
          <w:sz w:val="24"/>
          <w:szCs w:val="24"/>
        </w:rPr>
        <w:t xml:space="preserve"> </w:t>
      </w:r>
      <w:r>
        <w:rPr>
          <w:rFonts w:hint="eastAsia" w:ascii="宋体" w:hAnsi="宋体"/>
          <w:sz w:val="24"/>
          <w:szCs w:val="24"/>
        </w:rPr>
        <w:t>学生顶岗实习单位的质量。</w:t>
      </w:r>
      <w:r>
        <w:rPr>
          <w:rFonts w:ascii="宋体" w:hAnsi="宋体"/>
          <w:sz w:val="24"/>
          <w:szCs w:val="24"/>
        </w:rPr>
        <w:t xml:space="preserve"> </w:t>
      </w:r>
    </w:p>
    <w:p>
      <w:pPr>
        <w:spacing w:line="500" w:lineRule="exact"/>
        <w:ind w:firstLine="480" w:firstLineChars="200"/>
        <w:rPr>
          <w:rFonts w:ascii="宋体"/>
          <w:sz w:val="24"/>
          <w:szCs w:val="24"/>
        </w:rPr>
      </w:pPr>
      <w:r>
        <w:rPr>
          <w:rFonts w:ascii="宋体" w:hAnsi="宋体"/>
          <w:sz w:val="24"/>
          <w:szCs w:val="24"/>
        </w:rPr>
        <w:t>2.</w:t>
      </w:r>
      <w:r>
        <w:rPr>
          <w:rFonts w:hint="eastAsia" w:ascii="宋体" w:hAnsi="宋体"/>
          <w:sz w:val="24"/>
          <w:szCs w:val="24"/>
        </w:rPr>
        <w:t>院内老师与院外老师指导相结合我院学生在顶岗实习过程中除了有院内老师指导外，还要求企业同时配备院外指导老师。院内指导老师的主要职责是解答学生心理、理论知识方面的问题，院外指导老师主要是解决工作中的实际问题。</w:t>
      </w:r>
      <w:r>
        <w:rPr>
          <w:rFonts w:ascii="宋体" w:hAnsi="宋体"/>
          <w:sz w:val="24"/>
          <w:szCs w:val="24"/>
        </w:rPr>
        <w:t xml:space="preserve"> </w:t>
      </w:r>
    </w:p>
    <w:p>
      <w:pPr>
        <w:spacing w:line="500" w:lineRule="exact"/>
        <w:ind w:firstLine="480" w:firstLineChars="200"/>
        <w:rPr>
          <w:rFonts w:ascii="宋体"/>
          <w:sz w:val="24"/>
          <w:szCs w:val="24"/>
        </w:rPr>
      </w:pPr>
      <w:r>
        <w:rPr>
          <w:rFonts w:ascii="宋体" w:hAnsi="宋体"/>
          <w:sz w:val="24"/>
          <w:szCs w:val="24"/>
        </w:rPr>
        <w:t>3.</w:t>
      </w:r>
      <w:r>
        <w:rPr>
          <w:rFonts w:hint="eastAsia" w:ascii="宋体" w:hAnsi="宋体"/>
          <w:sz w:val="24"/>
          <w:szCs w:val="24"/>
        </w:rPr>
        <w:t>学生每周交周记</w:t>
      </w:r>
      <w:r>
        <w:rPr>
          <w:rFonts w:ascii="宋体" w:hAnsi="宋体"/>
          <w:sz w:val="24"/>
          <w:szCs w:val="24"/>
        </w:rPr>
        <w:t xml:space="preserve"> </w:t>
      </w:r>
      <w:r>
        <w:rPr>
          <w:rFonts w:hint="eastAsia" w:ascii="宋体" w:hAnsi="宋体"/>
          <w:sz w:val="24"/>
          <w:szCs w:val="24"/>
        </w:rPr>
        <w:t>学生在顶岗实习的过程中，学校要求学生每周要向指</w:t>
      </w:r>
      <w:r>
        <w:rPr>
          <w:rFonts w:ascii="宋体" w:hAnsi="宋体"/>
          <w:sz w:val="24"/>
          <w:szCs w:val="24"/>
        </w:rPr>
        <w:t xml:space="preserve"> </w:t>
      </w:r>
      <w:r>
        <w:rPr>
          <w:rFonts w:hint="eastAsia" w:ascii="宋体" w:hAnsi="宋体"/>
          <w:sz w:val="24"/>
          <w:szCs w:val="24"/>
        </w:rPr>
        <w:t>导老师提交周记，汇报本周的实习情况和想法，固定提交的形式是在大学生空间，</w:t>
      </w:r>
      <w:r>
        <w:rPr>
          <w:rFonts w:ascii="宋体" w:hAnsi="宋体"/>
          <w:sz w:val="24"/>
          <w:szCs w:val="24"/>
        </w:rPr>
        <w:t xml:space="preserve"> </w:t>
      </w:r>
      <w:r>
        <w:rPr>
          <w:rFonts w:hint="eastAsia" w:ascii="宋体" w:hAnsi="宋体"/>
          <w:sz w:val="24"/>
          <w:szCs w:val="24"/>
        </w:rPr>
        <w:t>日常一些提问学生也会通过电话、QQ或邮箱与老师保持密切沟通，老师能较好掌握学生动态，及时回复解答疑惑，使学生遇到的问题能及时得到解决。</w:t>
      </w:r>
      <w:r>
        <w:rPr>
          <w:rFonts w:ascii="宋体" w:hAnsi="宋体"/>
          <w:sz w:val="24"/>
          <w:szCs w:val="24"/>
        </w:rPr>
        <w:t xml:space="preserve"> </w:t>
      </w:r>
    </w:p>
    <w:p>
      <w:pPr>
        <w:spacing w:line="500" w:lineRule="exact"/>
        <w:ind w:firstLine="480" w:firstLineChars="200"/>
        <w:rPr>
          <w:rFonts w:ascii="宋体"/>
          <w:sz w:val="24"/>
          <w:szCs w:val="24"/>
        </w:rPr>
      </w:pPr>
      <w:r>
        <w:rPr>
          <w:rFonts w:ascii="宋体" w:hAnsi="宋体"/>
          <w:sz w:val="24"/>
          <w:szCs w:val="24"/>
        </w:rPr>
        <w:t>4.</w:t>
      </w:r>
      <w:r>
        <w:rPr>
          <w:rFonts w:hint="eastAsia" w:ascii="宋体" w:hAnsi="宋体"/>
          <w:sz w:val="24"/>
          <w:szCs w:val="24"/>
        </w:rPr>
        <w:t>加强各环节检查，保证指导质量</w:t>
      </w:r>
      <w:r>
        <w:rPr>
          <w:rFonts w:ascii="宋体" w:hAnsi="宋体"/>
          <w:sz w:val="24"/>
          <w:szCs w:val="24"/>
        </w:rPr>
        <w:t xml:space="preserve"> </w:t>
      </w:r>
      <w:r>
        <w:rPr>
          <w:rFonts w:hint="eastAsia" w:ascii="宋体" w:hAnsi="宋体"/>
          <w:sz w:val="24"/>
          <w:szCs w:val="24"/>
        </w:rPr>
        <w:t>不定期与实习单位联系，了解我院学生实习情况。一是通过对实习单位的电话沟通，了解学生的实训状况。二是随机抽查实训学生，了解学生实习心态及指导老师指导的情况以及学生对实训单位的看法；三是教务处和系（院）通过空间检查查看指导老师回复周记的情况，对回复学生周记不及时或不负责者在实习周报上点名批评。四是到实习单位巡查走访，了解用人单位对我院学生的看法及对人才需求，考核用人单位及其指导老师对我院学生的重视程度，作为来年是否继续合作的依据。</w:t>
      </w:r>
    </w:p>
    <w:p>
      <w:pPr>
        <w:widowControl/>
        <w:jc w:val="left"/>
        <w:rPr>
          <w:rFonts w:ascii="宋体" w:hAnsi="宋体"/>
          <w:b/>
          <w:bCs/>
          <w:kern w:val="44"/>
          <w:sz w:val="32"/>
          <w:szCs w:val="32"/>
        </w:rPr>
      </w:pPr>
      <w:r>
        <w:rPr>
          <w:rFonts w:ascii="宋体" w:hAnsi="宋体"/>
          <w:b/>
          <w:szCs w:val="32"/>
        </w:rPr>
        <w:br w:type="page"/>
      </w:r>
    </w:p>
    <w:p>
      <w:pPr>
        <w:pStyle w:val="2"/>
        <w:rPr>
          <w:rFonts w:ascii="宋体" w:hAnsi="宋体" w:eastAsia="宋体"/>
          <w:b/>
          <w:szCs w:val="32"/>
        </w:rPr>
      </w:pPr>
      <w:bookmarkStart w:id="59" w:name="_Toc533861939"/>
      <w:r>
        <w:rPr>
          <w:rFonts w:hint="eastAsia" w:ascii="宋体" w:hAnsi="宋体" w:eastAsia="宋体"/>
          <w:b/>
          <w:szCs w:val="32"/>
        </w:rPr>
        <w:t>第三篇</w:t>
      </w:r>
      <w:r>
        <w:rPr>
          <w:rFonts w:ascii="宋体" w:hAnsi="宋体" w:eastAsia="宋体"/>
          <w:b/>
          <w:szCs w:val="32"/>
        </w:rPr>
        <w:t xml:space="preserve">  </w:t>
      </w:r>
      <w:r>
        <w:rPr>
          <w:rFonts w:hint="eastAsia" w:ascii="宋体" w:hAnsi="宋体" w:eastAsia="宋体"/>
          <w:b/>
          <w:szCs w:val="32"/>
        </w:rPr>
        <w:t>毕业生就业质量分析</w:t>
      </w:r>
      <w:bookmarkEnd w:id="59"/>
    </w:p>
    <w:p>
      <w:pPr>
        <w:pStyle w:val="3"/>
        <w:spacing w:before="0" w:after="0" w:line="500" w:lineRule="exact"/>
        <w:ind w:firstLine="562" w:firstLineChars="200"/>
        <w:rPr>
          <w:rFonts w:ascii="宋体" w:hAnsi="宋体"/>
          <w:sz w:val="28"/>
          <w:szCs w:val="28"/>
        </w:rPr>
      </w:pPr>
      <w:bookmarkStart w:id="60" w:name="_Toc533861940"/>
      <w:r>
        <w:rPr>
          <w:rFonts w:hint="eastAsia" w:ascii="宋体" w:hAnsi="宋体"/>
          <w:sz w:val="28"/>
          <w:szCs w:val="28"/>
        </w:rPr>
        <w:t>一、毕业生对学校</w:t>
      </w:r>
      <w:r>
        <w:rPr>
          <w:rFonts w:hint="eastAsia"/>
          <w:sz w:val="28"/>
          <w:szCs w:val="28"/>
        </w:rPr>
        <w:t>人才</w:t>
      </w:r>
      <w:r>
        <w:rPr>
          <w:rFonts w:hint="eastAsia" w:ascii="宋体" w:hAnsi="宋体"/>
          <w:sz w:val="28"/>
          <w:szCs w:val="28"/>
        </w:rPr>
        <w:t>培养评价</w:t>
      </w:r>
      <w:bookmarkEnd w:id="60"/>
    </w:p>
    <w:p>
      <w:pPr>
        <w:pStyle w:val="4"/>
        <w:spacing w:before="0" w:after="0" w:line="500" w:lineRule="exact"/>
        <w:ind w:firstLine="562" w:firstLineChars="200"/>
        <w:rPr>
          <w:sz w:val="28"/>
          <w:szCs w:val="28"/>
        </w:rPr>
      </w:pPr>
      <w:bookmarkStart w:id="61" w:name="_Toc533861941"/>
      <w:r>
        <w:rPr>
          <w:rFonts w:hint="eastAsia"/>
          <w:sz w:val="28"/>
          <w:szCs w:val="28"/>
        </w:rPr>
        <w:t>（一）对</w:t>
      </w:r>
      <w:r>
        <w:rPr>
          <w:rFonts w:hint="eastAsia" w:ascii="宋体" w:hAnsi="宋体"/>
          <w:sz w:val="28"/>
          <w:szCs w:val="28"/>
        </w:rPr>
        <w:t>学校</w:t>
      </w:r>
      <w:r>
        <w:rPr>
          <w:rFonts w:hint="eastAsia"/>
          <w:sz w:val="28"/>
          <w:szCs w:val="28"/>
        </w:rPr>
        <w:t>人才培养结果的满意度</w:t>
      </w:r>
      <w:bookmarkEnd w:id="61"/>
    </w:p>
    <w:p>
      <w:pPr>
        <w:spacing w:line="560" w:lineRule="exact"/>
        <w:ind w:firstLine="480" w:firstLineChars="200"/>
        <w:rPr>
          <w:rFonts w:ascii="宋体" w:hAnsi="宋体"/>
          <w:sz w:val="24"/>
          <w:szCs w:val="24"/>
        </w:rPr>
      </w:pPr>
      <w:r>
        <w:rPr>
          <w:rFonts w:hint="eastAsia" w:ascii="宋体" w:hAnsi="宋体"/>
          <w:sz w:val="24"/>
          <w:szCs w:val="24"/>
        </w:rPr>
        <w:t>调研</w:t>
      </w:r>
      <w:r>
        <w:rPr>
          <w:rFonts w:ascii="宋体" w:hAnsi="宋体"/>
          <w:sz w:val="24"/>
          <w:szCs w:val="24"/>
        </w:rPr>
        <w:t>2018</w:t>
      </w:r>
      <w:r>
        <w:rPr>
          <w:rFonts w:hint="eastAsia" w:ascii="宋体" w:hAnsi="宋体"/>
          <w:sz w:val="24"/>
          <w:szCs w:val="24"/>
        </w:rPr>
        <w:t>届毕业生对学校人才培养的满意度，选择非常满意、满意和比较满意的占比之和达到</w:t>
      </w:r>
      <w:r>
        <w:rPr>
          <w:rFonts w:ascii="宋体" w:hAnsi="宋体"/>
          <w:sz w:val="24"/>
          <w:szCs w:val="24"/>
        </w:rPr>
        <w:t>94%</w:t>
      </w:r>
      <w:r>
        <w:rPr>
          <w:rFonts w:hint="eastAsia" w:ascii="宋体" w:hAnsi="宋体"/>
          <w:sz w:val="24"/>
          <w:szCs w:val="24"/>
        </w:rPr>
        <w:t>左右，说明绝大多数毕业生对学校的人才培养工作持满意态度。</w:t>
      </w:r>
    </w:p>
    <w:tbl>
      <w:tblPr>
        <w:tblStyle w:val="20"/>
        <w:tblW w:w="90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0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083" w:hRule="atLeast"/>
        </w:trPr>
        <w:tc>
          <w:tcPr>
            <w:tcW w:w="9060" w:type="dxa"/>
          </w:tcPr>
          <w:p>
            <w:pPr>
              <w:spacing w:line="60" w:lineRule="exact"/>
              <w:rPr>
                <w:rFonts w:ascii="宋体" w:hAnsi="宋体"/>
                <w:sz w:val="24"/>
                <w:szCs w:val="24"/>
              </w:rPr>
            </w:pPr>
            <w:r>
              <w:rPr>
                <w:rFonts w:ascii="宋体" w:hAnsi="Times New Roman"/>
                <w:b/>
                <w:color w:val="000000"/>
                <w:sz w:val="28"/>
                <w:szCs w:val="28"/>
              </w:rPr>
              <w:drawing>
                <wp:anchor distT="0" distB="0" distL="114300" distR="114300" simplePos="0" relativeHeight="251711488" behindDoc="1" locked="0" layoutInCell="1" allowOverlap="1">
                  <wp:simplePos x="0" y="0"/>
                  <wp:positionH relativeFrom="column">
                    <wp:posOffset>262890</wp:posOffset>
                  </wp:positionH>
                  <wp:positionV relativeFrom="paragraph">
                    <wp:posOffset>66040</wp:posOffset>
                  </wp:positionV>
                  <wp:extent cx="5032375" cy="3072130"/>
                  <wp:effectExtent l="0" t="0" r="0" b="0"/>
                  <wp:wrapSquare wrapText="bothSides"/>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exact"/>
        </w:trPr>
        <w:tc>
          <w:tcPr>
            <w:tcW w:w="9060" w:type="dxa"/>
          </w:tcPr>
          <w:p>
            <w:pPr>
              <w:spacing w:after="156" w:afterLines="50" w:line="440" w:lineRule="exact"/>
              <w:jc w:val="center"/>
              <w:rPr>
                <w:rFonts w:ascii="宋体" w:hAnsi="宋体"/>
                <w:sz w:val="24"/>
                <w:szCs w:val="24"/>
              </w:rPr>
            </w:pPr>
            <w:r>
              <w:rPr>
                <w:rFonts w:hint="eastAsia" w:ascii="宋体" w:hAnsi="宋体"/>
                <w:b/>
                <w:color w:val="000000"/>
                <w:szCs w:val="21"/>
              </w:rPr>
              <w:t>图</w:t>
            </w:r>
            <w:r>
              <w:rPr>
                <w:rFonts w:ascii="宋体" w:hAnsi="宋体"/>
                <w:b/>
                <w:color w:val="000000"/>
                <w:szCs w:val="21"/>
              </w:rPr>
              <w:t xml:space="preserve">3-1  </w:t>
            </w:r>
            <w:r>
              <w:rPr>
                <w:rFonts w:hint="eastAsia" w:ascii="宋体" w:hAnsi="宋体"/>
                <w:b/>
                <w:color w:val="000000"/>
                <w:szCs w:val="21"/>
              </w:rPr>
              <w:t>毕业生对学校人才培养结果的满意度</w:t>
            </w:r>
          </w:p>
        </w:tc>
      </w:tr>
    </w:tbl>
    <w:p>
      <w:pPr>
        <w:pStyle w:val="4"/>
        <w:spacing w:before="0" w:after="0" w:line="500" w:lineRule="exact"/>
        <w:ind w:firstLine="562" w:firstLineChars="200"/>
        <w:rPr>
          <w:sz w:val="28"/>
          <w:szCs w:val="28"/>
        </w:rPr>
      </w:pPr>
      <w:bookmarkStart w:id="62" w:name="_Toc533861942"/>
      <w:r>
        <w:rPr>
          <w:rFonts w:hint="eastAsia"/>
          <w:sz w:val="28"/>
          <w:szCs w:val="28"/>
        </w:rPr>
        <w:t>（二）对学校人才培养的评价</w:t>
      </w:r>
      <w:bookmarkEnd w:id="62"/>
      <w:r>
        <w:rPr>
          <w:sz w:val="28"/>
          <w:szCs w:val="28"/>
        </w:rPr>
        <w:t xml:space="preserve"> </w:t>
      </w:r>
    </w:p>
    <w:p>
      <w:pPr>
        <w:spacing w:line="480" w:lineRule="exact"/>
        <w:ind w:firstLine="480" w:firstLineChars="200"/>
        <w:rPr>
          <w:rFonts w:ascii="宋体" w:hAnsi="宋体"/>
          <w:sz w:val="24"/>
          <w:szCs w:val="24"/>
        </w:rPr>
      </w:pPr>
      <w:r>
        <w:rPr>
          <w:rFonts w:hint="eastAsia" w:ascii="宋体" w:hAnsi="宋体"/>
          <w:sz w:val="24"/>
          <w:szCs w:val="24"/>
        </w:rPr>
        <w:t>就毕业生对学校教育教学的满意度进行量化赋值，</w:t>
      </w:r>
      <w:r>
        <w:rPr>
          <w:rFonts w:hint="eastAsia" w:ascii="宋体"/>
          <w:sz w:val="24"/>
          <w:szCs w:val="24"/>
        </w:rPr>
        <w:t>“</w:t>
      </w:r>
      <w:r>
        <w:rPr>
          <w:rFonts w:hint="eastAsia" w:ascii="宋体" w:hAnsi="宋体"/>
          <w:sz w:val="24"/>
          <w:szCs w:val="24"/>
        </w:rPr>
        <w:t>非常满意</w:t>
      </w:r>
      <w:r>
        <w:rPr>
          <w:rFonts w:hint="eastAsia" w:ascii="宋体"/>
          <w:sz w:val="24"/>
          <w:szCs w:val="24"/>
        </w:rPr>
        <w:t>”</w:t>
      </w:r>
      <w:r>
        <w:rPr>
          <w:rFonts w:ascii="宋体" w:hAnsi="宋体"/>
          <w:sz w:val="24"/>
          <w:szCs w:val="24"/>
        </w:rPr>
        <w:t>=5</w:t>
      </w:r>
      <w:r>
        <w:rPr>
          <w:rFonts w:hint="eastAsia" w:ascii="宋体" w:hAnsi="宋体"/>
          <w:sz w:val="24"/>
          <w:szCs w:val="24"/>
        </w:rPr>
        <w:t>分、</w:t>
      </w:r>
      <w:r>
        <w:rPr>
          <w:rFonts w:hint="eastAsia" w:ascii="宋体"/>
          <w:sz w:val="24"/>
          <w:szCs w:val="24"/>
        </w:rPr>
        <w:t>“</w:t>
      </w:r>
      <w:r>
        <w:rPr>
          <w:rFonts w:hint="eastAsia" w:ascii="宋体" w:hAnsi="宋体"/>
          <w:sz w:val="24"/>
          <w:szCs w:val="24"/>
        </w:rPr>
        <w:t>满</w:t>
      </w:r>
      <w:r>
        <w:rPr>
          <w:rFonts w:ascii="宋体" w:hAnsi="宋体"/>
          <w:sz w:val="24"/>
          <w:szCs w:val="24"/>
        </w:rPr>
        <w:t xml:space="preserve"> </w:t>
      </w:r>
      <w:r>
        <w:rPr>
          <w:rFonts w:hint="eastAsia" w:ascii="宋体" w:hAnsi="宋体"/>
          <w:sz w:val="24"/>
          <w:szCs w:val="24"/>
        </w:rPr>
        <w:t>意</w:t>
      </w:r>
      <w:r>
        <w:rPr>
          <w:rFonts w:hint="eastAsia" w:ascii="宋体"/>
          <w:sz w:val="24"/>
          <w:szCs w:val="24"/>
        </w:rPr>
        <w:t>”</w:t>
      </w:r>
      <w:r>
        <w:rPr>
          <w:rFonts w:ascii="宋体" w:hAnsi="宋体"/>
          <w:sz w:val="24"/>
          <w:szCs w:val="24"/>
        </w:rPr>
        <w:t>=4</w:t>
      </w:r>
      <w:r>
        <w:rPr>
          <w:rFonts w:hint="eastAsia" w:ascii="宋体" w:hAnsi="宋体"/>
          <w:sz w:val="24"/>
          <w:szCs w:val="24"/>
        </w:rPr>
        <w:t>分、</w:t>
      </w:r>
      <w:r>
        <w:rPr>
          <w:rFonts w:hint="eastAsia" w:ascii="宋体"/>
          <w:sz w:val="24"/>
          <w:szCs w:val="24"/>
        </w:rPr>
        <w:t>“</w:t>
      </w:r>
      <w:r>
        <w:rPr>
          <w:rFonts w:hint="eastAsia" w:ascii="宋体" w:hAnsi="宋体"/>
          <w:sz w:val="24"/>
          <w:szCs w:val="24"/>
        </w:rPr>
        <w:t>比较满意</w:t>
      </w:r>
      <w:r>
        <w:rPr>
          <w:rFonts w:hint="eastAsia" w:ascii="宋体"/>
          <w:sz w:val="24"/>
          <w:szCs w:val="24"/>
        </w:rPr>
        <w:t>”</w:t>
      </w:r>
      <w:r>
        <w:rPr>
          <w:rFonts w:ascii="宋体" w:hAnsi="宋体"/>
          <w:sz w:val="24"/>
          <w:szCs w:val="24"/>
        </w:rPr>
        <w:t>=3</w:t>
      </w:r>
      <w:r>
        <w:rPr>
          <w:rFonts w:hint="eastAsia" w:ascii="宋体" w:hAnsi="宋体"/>
          <w:sz w:val="24"/>
          <w:szCs w:val="24"/>
        </w:rPr>
        <w:t>分、</w:t>
      </w:r>
      <w:r>
        <w:rPr>
          <w:rFonts w:hint="eastAsia" w:ascii="宋体"/>
          <w:sz w:val="24"/>
          <w:szCs w:val="24"/>
        </w:rPr>
        <w:t>“</w:t>
      </w:r>
      <w:r>
        <w:rPr>
          <w:rFonts w:hint="eastAsia" w:ascii="宋体" w:hAnsi="宋体"/>
          <w:sz w:val="24"/>
          <w:szCs w:val="24"/>
        </w:rPr>
        <w:t>不太满意</w:t>
      </w:r>
      <w:r>
        <w:rPr>
          <w:rFonts w:hint="eastAsia" w:ascii="宋体"/>
          <w:sz w:val="24"/>
          <w:szCs w:val="24"/>
        </w:rPr>
        <w:t>”</w:t>
      </w:r>
      <w:r>
        <w:rPr>
          <w:rFonts w:ascii="宋体" w:hAnsi="宋体"/>
          <w:sz w:val="24"/>
          <w:szCs w:val="24"/>
        </w:rPr>
        <w:t>=2</w:t>
      </w:r>
      <w:r>
        <w:rPr>
          <w:rFonts w:hint="eastAsia" w:ascii="宋体" w:hAnsi="宋体"/>
          <w:sz w:val="24"/>
          <w:szCs w:val="24"/>
        </w:rPr>
        <w:t>分、</w:t>
      </w:r>
      <w:r>
        <w:rPr>
          <w:rFonts w:hint="eastAsia" w:ascii="宋体"/>
          <w:sz w:val="24"/>
          <w:szCs w:val="24"/>
        </w:rPr>
        <w:t>“</w:t>
      </w:r>
      <w:r>
        <w:rPr>
          <w:rFonts w:hint="eastAsia" w:ascii="宋体" w:hAnsi="宋体"/>
          <w:sz w:val="24"/>
          <w:szCs w:val="24"/>
        </w:rPr>
        <w:t>很不满意</w:t>
      </w:r>
      <w:r>
        <w:rPr>
          <w:rFonts w:hint="eastAsia" w:ascii="宋体"/>
          <w:sz w:val="24"/>
          <w:szCs w:val="24"/>
        </w:rPr>
        <w:t>”</w:t>
      </w:r>
      <w:r>
        <w:rPr>
          <w:rFonts w:ascii="宋体" w:hAnsi="宋体"/>
          <w:sz w:val="24"/>
          <w:szCs w:val="24"/>
        </w:rPr>
        <w:t>=1</w:t>
      </w:r>
      <w:r>
        <w:rPr>
          <w:rFonts w:hint="eastAsia" w:ascii="宋体" w:hAnsi="宋体"/>
          <w:sz w:val="24"/>
          <w:szCs w:val="24"/>
        </w:rPr>
        <w:t>分，计算各指标平均值，如图3</w:t>
      </w:r>
      <w:r>
        <w:rPr>
          <w:rFonts w:ascii="宋体" w:hAnsi="宋体"/>
          <w:sz w:val="24"/>
          <w:szCs w:val="24"/>
        </w:rPr>
        <w:t>-2</w:t>
      </w:r>
      <w:r>
        <w:rPr>
          <w:rFonts w:hint="eastAsia" w:ascii="宋体" w:hAnsi="宋体"/>
          <w:sz w:val="24"/>
          <w:szCs w:val="24"/>
        </w:rPr>
        <w:t>所示。以下教育教学四个指标分数均在</w:t>
      </w:r>
      <w:r>
        <w:rPr>
          <w:rFonts w:ascii="宋体" w:hAnsi="宋体"/>
          <w:sz w:val="24"/>
          <w:szCs w:val="24"/>
        </w:rPr>
        <w:t>3.70</w:t>
      </w:r>
      <w:r>
        <w:rPr>
          <w:rFonts w:hint="eastAsia" w:ascii="宋体" w:hAnsi="宋体"/>
          <w:sz w:val="24"/>
          <w:szCs w:val="24"/>
        </w:rPr>
        <w:t>分以上，说明均处于满意状态。</w:t>
      </w:r>
    </w:p>
    <w:tbl>
      <w:tblPr>
        <w:tblStyle w:val="20"/>
        <w:tblW w:w="90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0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78" w:hRule="atLeast"/>
        </w:trPr>
        <w:tc>
          <w:tcPr>
            <w:tcW w:w="9060" w:type="dxa"/>
          </w:tcPr>
          <w:p>
            <w:pPr>
              <w:spacing w:line="480" w:lineRule="exact"/>
              <w:rPr>
                <w:rFonts w:ascii="宋体" w:hAnsi="宋体"/>
                <w:sz w:val="24"/>
                <w:szCs w:val="24"/>
              </w:rPr>
            </w:pPr>
            <w:r>
              <w:rPr>
                <w:rFonts w:ascii="宋体" w:hAnsi="Times New Roman"/>
                <w:color w:val="000000"/>
                <w:sz w:val="28"/>
                <w:szCs w:val="28"/>
              </w:rPr>
              <w:drawing>
                <wp:anchor distT="0" distB="0" distL="114300" distR="114300" simplePos="0" relativeHeight="251713536" behindDoc="0" locked="0" layoutInCell="1" allowOverlap="1">
                  <wp:simplePos x="0" y="0"/>
                  <wp:positionH relativeFrom="column">
                    <wp:posOffset>868045</wp:posOffset>
                  </wp:positionH>
                  <wp:positionV relativeFrom="paragraph">
                    <wp:posOffset>79375</wp:posOffset>
                  </wp:positionV>
                  <wp:extent cx="3803650" cy="1872615"/>
                  <wp:effectExtent l="0" t="0" r="0" b="0"/>
                  <wp:wrapSquare wrapText="bothSides"/>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98" w:hRule="atLeast"/>
        </w:trPr>
        <w:tc>
          <w:tcPr>
            <w:tcW w:w="9060" w:type="dxa"/>
          </w:tcPr>
          <w:p>
            <w:pPr>
              <w:spacing w:line="500" w:lineRule="exact"/>
              <w:ind w:firstLine="422" w:firstLineChars="200"/>
              <w:jc w:val="center"/>
              <w:rPr>
                <w:rFonts w:ascii="宋体" w:hAnsi="宋体"/>
                <w:sz w:val="24"/>
                <w:szCs w:val="24"/>
              </w:rPr>
            </w:pPr>
            <w:r>
              <w:rPr>
                <w:rFonts w:hint="eastAsia" w:ascii="宋体" w:hAnsi="宋体"/>
                <w:b/>
                <w:color w:val="000000"/>
                <w:szCs w:val="21"/>
              </w:rPr>
              <w:t>图</w:t>
            </w:r>
            <w:r>
              <w:rPr>
                <w:rFonts w:ascii="宋体" w:hAnsi="宋体"/>
                <w:b/>
                <w:color w:val="000000"/>
                <w:szCs w:val="21"/>
              </w:rPr>
              <w:t xml:space="preserve">3-2  </w:t>
            </w:r>
            <w:r>
              <w:rPr>
                <w:rFonts w:hint="eastAsia" w:ascii="宋体" w:hAnsi="宋体"/>
                <w:b/>
                <w:color w:val="000000"/>
                <w:szCs w:val="21"/>
              </w:rPr>
              <w:t>毕业生对人才培养的评价</w:t>
            </w:r>
          </w:p>
        </w:tc>
      </w:tr>
    </w:tbl>
    <w:p>
      <w:pPr>
        <w:pStyle w:val="4"/>
        <w:spacing w:before="0" w:after="0" w:line="500" w:lineRule="exact"/>
        <w:ind w:firstLine="562" w:firstLineChars="200"/>
        <w:rPr>
          <w:sz w:val="28"/>
          <w:szCs w:val="28"/>
        </w:rPr>
      </w:pPr>
      <w:bookmarkStart w:id="63" w:name="_Toc533861943"/>
      <w:r>
        <w:rPr>
          <w:rFonts w:hint="eastAsia"/>
          <w:sz w:val="28"/>
          <w:szCs w:val="28"/>
        </w:rPr>
        <w:t>（三）对学校教育教学的反馈意见</w:t>
      </w:r>
      <w:bookmarkEnd w:id="63"/>
    </w:p>
    <w:p>
      <w:pPr>
        <w:spacing w:line="540" w:lineRule="exact"/>
        <w:ind w:firstLine="480" w:firstLineChars="200"/>
        <w:rPr>
          <w:rFonts w:ascii="宋体" w:hAnsi="宋体"/>
          <w:sz w:val="24"/>
          <w:szCs w:val="24"/>
        </w:rPr>
      </w:pPr>
      <w:r>
        <w:rPr>
          <w:rFonts w:ascii="宋体" w:hAnsi="宋体"/>
          <w:sz w:val="24"/>
          <w:szCs w:val="24"/>
        </w:rPr>
        <w:drawing>
          <wp:anchor distT="0" distB="0" distL="114300" distR="114300" simplePos="0" relativeHeight="251637760" behindDoc="0" locked="0" layoutInCell="1" allowOverlap="1">
            <wp:simplePos x="0" y="0"/>
            <wp:positionH relativeFrom="column">
              <wp:posOffset>151765</wp:posOffset>
            </wp:positionH>
            <wp:positionV relativeFrom="paragraph">
              <wp:posOffset>1059180</wp:posOffset>
            </wp:positionV>
            <wp:extent cx="5486400" cy="3200400"/>
            <wp:effectExtent l="0" t="0" r="0" b="0"/>
            <wp:wrapSquare wrapText="bothSides"/>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Pr>
          <w:rFonts w:hint="eastAsia" w:ascii="宋体" w:hAnsi="宋体"/>
          <w:sz w:val="24"/>
          <w:szCs w:val="24"/>
        </w:rPr>
        <w:t>调研显示，毕业生对学校教育教学的反馈建议中占比最高的是实践教学，其次是就业指导服务，再次是教学方法和手段，比例分别为：</w:t>
      </w:r>
      <w:r>
        <w:rPr>
          <w:rFonts w:ascii="宋体" w:hAnsi="宋体"/>
          <w:sz w:val="24"/>
          <w:szCs w:val="24"/>
        </w:rPr>
        <w:t>30.21%</w:t>
      </w:r>
      <w:r>
        <w:rPr>
          <w:rFonts w:hint="eastAsia" w:ascii="宋体" w:hAnsi="宋体"/>
          <w:sz w:val="24"/>
          <w:szCs w:val="24"/>
        </w:rPr>
        <w:t>、</w:t>
      </w:r>
      <w:r>
        <w:rPr>
          <w:rFonts w:ascii="宋体" w:hAnsi="宋体"/>
          <w:sz w:val="24"/>
          <w:szCs w:val="24"/>
        </w:rPr>
        <w:t>21.</w:t>
      </w:r>
      <w:r>
        <w:rPr>
          <w:rFonts w:hint="eastAsia" w:ascii="宋体" w:hAnsi="宋体"/>
          <w:sz w:val="24"/>
          <w:szCs w:val="24"/>
        </w:rPr>
        <w:t>68</w:t>
      </w:r>
      <w:r>
        <w:rPr>
          <w:rFonts w:ascii="宋体" w:hAnsi="宋体"/>
          <w:sz w:val="24"/>
          <w:szCs w:val="24"/>
        </w:rPr>
        <w:t>%</w:t>
      </w:r>
      <w:r>
        <w:rPr>
          <w:rFonts w:hint="eastAsia" w:ascii="宋体" w:hAnsi="宋体"/>
          <w:sz w:val="24"/>
          <w:szCs w:val="24"/>
        </w:rPr>
        <w:t>和</w:t>
      </w:r>
      <w:r>
        <w:rPr>
          <w:rFonts w:ascii="宋体" w:hAnsi="宋体"/>
          <w:sz w:val="24"/>
          <w:szCs w:val="24"/>
        </w:rPr>
        <w:t xml:space="preserve"> 1</w:t>
      </w:r>
      <w:r>
        <w:rPr>
          <w:rFonts w:hint="eastAsia" w:ascii="宋体" w:hAnsi="宋体"/>
          <w:sz w:val="24"/>
          <w:szCs w:val="24"/>
        </w:rPr>
        <w:t>4</w:t>
      </w:r>
      <w:r>
        <w:rPr>
          <w:rFonts w:ascii="宋体" w:hAnsi="宋体"/>
          <w:sz w:val="24"/>
          <w:szCs w:val="24"/>
        </w:rPr>
        <w:t>.42%</w:t>
      </w:r>
      <w:r>
        <w:rPr>
          <w:rFonts w:hint="eastAsia" w:ascii="宋体" w:hAnsi="宋体"/>
          <w:sz w:val="24"/>
          <w:szCs w:val="24"/>
        </w:rPr>
        <w:t>，详见图3</w:t>
      </w:r>
      <w:r>
        <w:rPr>
          <w:rFonts w:ascii="宋体" w:hAnsi="宋体"/>
          <w:sz w:val="24"/>
          <w:szCs w:val="24"/>
        </w:rPr>
        <w:t>-3</w:t>
      </w:r>
      <w:r>
        <w:rPr>
          <w:rFonts w:hint="eastAsia" w:ascii="宋体" w:hAnsi="宋体"/>
          <w:sz w:val="24"/>
          <w:szCs w:val="24"/>
        </w:rPr>
        <w:t>。</w:t>
      </w:r>
    </w:p>
    <w:p>
      <w:pPr>
        <w:spacing w:before="156" w:beforeLines="50" w:after="156" w:afterLines="50" w:line="480" w:lineRule="exact"/>
        <w:ind w:firstLine="422" w:firstLineChars="200"/>
        <w:jc w:val="center"/>
        <w:rPr>
          <w:rFonts w:ascii="宋体"/>
          <w:b/>
          <w:color w:val="000000"/>
          <w:szCs w:val="21"/>
        </w:rPr>
      </w:pPr>
      <w:r>
        <w:rPr>
          <w:rFonts w:hint="eastAsia" w:ascii="宋体" w:hAnsi="宋体"/>
          <w:b/>
          <w:color w:val="000000"/>
          <w:szCs w:val="21"/>
        </w:rPr>
        <w:t>图</w:t>
      </w:r>
      <w:r>
        <w:rPr>
          <w:rFonts w:ascii="宋体" w:hAnsi="宋体"/>
          <w:b/>
          <w:color w:val="000000"/>
          <w:szCs w:val="21"/>
        </w:rPr>
        <w:t xml:space="preserve">3-3  </w:t>
      </w:r>
      <w:r>
        <w:rPr>
          <w:rFonts w:hint="eastAsia" w:ascii="宋体" w:hAnsi="宋体"/>
          <w:b/>
          <w:color w:val="000000"/>
          <w:szCs w:val="21"/>
        </w:rPr>
        <w:t>毕业生对教育教学的反馈意见</w:t>
      </w:r>
    </w:p>
    <w:p>
      <w:pPr>
        <w:pStyle w:val="4"/>
        <w:spacing w:before="0" w:after="0" w:line="500" w:lineRule="exact"/>
        <w:ind w:firstLine="482" w:firstLineChars="200"/>
        <w:rPr>
          <w:sz w:val="28"/>
          <w:szCs w:val="28"/>
        </w:rPr>
      </w:pPr>
      <w:bookmarkStart w:id="64" w:name="_Toc533861944"/>
      <w:r>
        <w:rPr>
          <w:rFonts w:ascii="宋体" w:hAnsi="宋体"/>
          <w:sz w:val="24"/>
          <w:szCs w:val="24"/>
        </w:rPr>
        <w:drawing>
          <wp:anchor distT="0" distB="0" distL="114300" distR="114300" simplePos="0" relativeHeight="251643904" behindDoc="0" locked="0" layoutInCell="1" allowOverlap="1">
            <wp:simplePos x="0" y="0"/>
            <wp:positionH relativeFrom="column">
              <wp:posOffset>123190</wp:posOffset>
            </wp:positionH>
            <wp:positionV relativeFrom="paragraph">
              <wp:posOffset>386715</wp:posOffset>
            </wp:positionV>
            <wp:extent cx="5471160" cy="2955290"/>
            <wp:effectExtent l="0" t="0" r="0" b="0"/>
            <wp:wrapSquare wrapText="bothSides"/>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Pr>
          <w:rFonts w:hint="eastAsia"/>
          <w:sz w:val="28"/>
          <w:szCs w:val="28"/>
        </w:rPr>
        <w:t>（四）对就业指导服务的反馈建议</w:t>
      </w:r>
      <w:bookmarkEnd w:id="64"/>
    </w:p>
    <w:p>
      <w:pPr>
        <w:spacing w:before="156" w:beforeLines="50" w:line="480" w:lineRule="exact"/>
        <w:ind w:firstLine="422" w:firstLineChars="200"/>
        <w:jc w:val="center"/>
        <w:rPr>
          <w:rFonts w:ascii="宋体"/>
          <w:b/>
          <w:color w:val="000000"/>
          <w:szCs w:val="21"/>
        </w:rPr>
      </w:pPr>
      <w:r>
        <w:rPr>
          <w:rFonts w:hint="eastAsia" w:ascii="宋体" w:hAnsi="宋体"/>
          <w:b/>
          <w:color w:val="000000"/>
          <w:szCs w:val="21"/>
        </w:rPr>
        <w:t>图</w:t>
      </w:r>
      <w:r>
        <w:rPr>
          <w:rFonts w:ascii="宋体" w:hAnsi="宋体"/>
          <w:b/>
          <w:color w:val="000000"/>
          <w:szCs w:val="21"/>
        </w:rPr>
        <w:t xml:space="preserve">3-4  </w:t>
      </w:r>
      <w:r>
        <w:rPr>
          <w:rFonts w:hint="eastAsia" w:ascii="宋体" w:hAnsi="宋体"/>
          <w:b/>
          <w:color w:val="000000"/>
          <w:szCs w:val="21"/>
        </w:rPr>
        <w:t>毕业生对就业</w:t>
      </w:r>
      <w:r>
        <w:rPr>
          <w:rFonts w:ascii="宋体" w:hAnsi="宋体"/>
          <w:b/>
          <w:color w:val="000000"/>
          <w:szCs w:val="21"/>
        </w:rPr>
        <w:t>指导服务</w:t>
      </w:r>
      <w:r>
        <w:rPr>
          <w:rFonts w:hint="eastAsia" w:ascii="宋体" w:hAnsi="宋体"/>
          <w:b/>
          <w:color w:val="000000"/>
          <w:szCs w:val="21"/>
        </w:rPr>
        <w:t>的反馈建议</w:t>
      </w:r>
    </w:p>
    <w:tbl>
      <w:tblPr>
        <w:tblStyle w:val="20"/>
        <w:tblpPr w:leftFromText="180" w:rightFromText="180" w:vertAnchor="text" w:horzAnchor="margin" w:tblpXSpec="right" w:tblpY="2052"/>
        <w:tblW w:w="495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95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26" w:hRule="atLeast"/>
        </w:trPr>
        <w:tc>
          <w:tcPr>
            <w:tcW w:w="4954" w:type="dxa"/>
          </w:tcPr>
          <w:p>
            <w:pPr>
              <w:spacing w:line="60" w:lineRule="exact"/>
              <w:rPr>
                <w:rFonts w:ascii="宋体" w:hAnsi="Times New Roman"/>
                <w:color w:val="000000"/>
                <w:sz w:val="28"/>
                <w:szCs w:val="28"/>
              </w:rPr>
            </w:pPr>
            <w:r>
              <w:rPr>
                <w:rFonts w:ascii="宋体" w:hAnsi="宋体"/>
                <w:sz w:val="24"/>
                <w:szCs w:val="24"/>
              </w:rPr>
              <w:drawing>
                <wp:anchor distT="0" distB="0" distL="114300" distR="114300" simplePos="0" relativeHeight="251715584" behindDoc="0" locked="0" layoutInCell="1" allowOverlap="1">
                  <wp:simplePos x="0" y="0"/>
                  <wp:positionH relativeFrom="column">
                    <wp:posOffset>95885</wp:posOffset>
                  </wp:positionH>
                  <wp:positionV relativeFrom="paragraph">
                    <wp:posOffset>76200</wp:posOffset>
                  </wp:positionV>
                  <wp:extent cx="2874645" cy="2787015"/>
                  <wp:effectExtent l="0" t="0" r="0" b="0"/>
                  <wp:wrapSquare wrapText="bothSides"/>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exact"/>
        </w:trPr>
        <w:tc>
          <w:tcPr>
            <w:tcW w:w="4954" w:type="dxa"/>
            <w:vAlign w:val="center"/>
          </w:tcPr>
          <w:p>
            <w:pPr>
              <w:jc w:val="center"/>
              <w:rPr>
                <w:rFonts w:ascii="宋体" w:hAnsi="Times New Roman"/>
                <w:color w:val="000000"/>
                <w:sz w:val="28"/>
                <w:szCs w:val="28"/>
              </w:rPr>
            </w:pPr>
            <w:r>
              <w:rPr>
                <w:rFonts w:hint="eastAsia" w:asciiTheme="minorEastAsia" w:hAnsiTheme="minorEastAsia" w:eastAsiaTheme="minorEastAsia"/>
                <w:b/>
              </w:rPr>
              <w:t>图</w:t>
            </w:r>
            <w:r>
              <w:rPr>
                <w:rFonts w:asciiTheme="minorEastAsia" w:hAnsiTheme="minorEastAsia" w:eastAsiaTheme="minorEastAsia"/>
                <w:b/>
              </w:rPr>
              <w:t xml:space="preserve">3-5  </w:t>
            </w:r>
            <w:r>
              <w:rPr>
                <w:rFonts w:hint="eastAsia" w:asciiTheme="minorEastAsia" w:hAnsiTheme="minorEastAsia" w:eastAsiaTheme="minorEastAsia"/>
                <w:b/>
              </w:rPr>
              <w:t>已落实</w:t>
            </w:r>
            <w:r>
              <w:rPr>
                <w:rFonts w:hint="eastAsia" w:ascii="Times New Roman" w:hAnsi="Times New Roman"/>
                <w:b/>
              </w:rPr>
              <w:t>就业单位毕业生就业满意度</w:t>
            </w:r>
          </w:p>
        </w:tc>
      </w:tr>
    </w:tbl>
    <w:p>
      <w:pPr>
        <w:spacing w:line="480" w:lineRule="exact"/>
        <w:ind w:firstLine="480" w:firstLineChars="200"/>
        <w:rPr>
          <w:rFonts w:ascii="宋体"/>
          <w:color w:val="000000"/>
          <w:sz w:val="28"/>
          <w:szCs w:val="28"/>
        </w:rPr>
      </w:pPr>
      <w:r>
        <w:rPr>
          <w:rFonts w:hint="eastAsia" w:ascii="宋体" w:hAnsi="宋体"/>
          <w:sz w:val="24"/>
          <w:szCs w:val="24"/>
        </w:rPr>
        <w:t>收集毕业生对学校就业指导服务的反馈建议，可以看出，</w:t>
      </w:r>
      <w:r>
        <w:rPr>
          <w:rFonts w:ascii="宋体" w:hAnsi="宋体"/>
          <w:sz w:val="24"/>
          <w:szCs w:val="24"/>
        </w:rPr>
        <w:t>30.46%</w:t>
      </w:r>
      <w:r>
        <w:rPr>
          <w:rFonts w:hint="eastAsia" w:ascii="宋体" w:hAnsi="宋体"/>
          <w:sz w:val="24"/>
          <w:szCs w:val="24"/>
        </w:rPr>
        <w:t>的毕业生希望学校在就业指导服务过程中，了解毕业生就业意向，进行个体指导；占比</w:t>
      </w:r>
      <w:r>
        <w:rPr>
          <w:rFonts w:ascii="宋体" w:hAnsi="宋体"/>
          <w:sz w:val="24"/>
          <w:szCs w:val="24"/>
        </w:rPr>
        <w:t xml:space="preserve">20.31% </w:t>
      </w:r>
      <w:r>
        <w:rPr>
          <w:rFonts w:hint="eastAsia" w:ascii="宋体" w:hAnsi="宋体"/>
          <w:sz w:val="24"/>
          <w:szCs w:val="24"/>
        </w:rPr>
        <w:t>的毕业生希望学校更多收集和整理用人单位需求信息，以供毕业生在求职过程中参考；另外，占比将近</w:t>
      </w:r>
      <w:r>
        <w:rPr>
          <w:rFonts w:ascii="宋体" w:hAnsi="宋体"/>
          <w:sz w:val="24"/>
          <w:szCs w:val="24"/>
        </w:rPr>
        <w:t>12.92%</w:t>
      </w:r>
      <w:r>
        <w:rPr>
          <w:rFonts w:hint="eastAsia" w:ascii="宋体" w:hAnsi="宋体"/>
          <w:sz w:val="24"/>
          <w:szCs w:val="24"/>
        </w:rPr>
        <w:t>的毕业生希望学校广泛地向社会宣传学校，扩大知名度，有助于毕业生在求职中获益，其他具体的建议见图3</w:t>
      </w:r>
      <w:r>
        <w:rPr>
          <w:rFonts w:ascii="宋体" w:hAnsi="宋体"/>
          <w:sz w:val="24"/>
          <w:szCs w:val="24"/>
        </w:rPr>
        <w:t>-4</w:t>
      </w:r>
      <w:r>
        <w:rPr>
          <w:rFonts w:hint="eastAsia" w:ascii="宋体" w:hAnsi="宋体"/>
          <w:sz w:val="24"/>
          <w:szCs w:val="24"/>
        </w:rPr>
        <w:t>。</w:t>
      </w:r>
    </w:p>
    <w:p>
      <w:pPr>
        <w:pStyle w:val="3"/>
        <w:spacing w:before="0" w:after="0" w:line="500" w:lineRule="exact"/>
        <w:ind w:firstLine="562" w:firstLineChars="200"/>
        <w:rPr>
          <w:rFonts w:ascii="宋体" w:hAnsi="宋体"/>
          <w:sz w:val="28"/>
          <w:szCs w:val="28"/>
        </w:rPr>
      </w:pPr>
      <w:bookmarkStart w:id="65" w:name="_Toc533861945"/>
      <w:r>
        <w:rPr>
          <w:rFonts w:hint="eastAsia" w:ascii="宋体" w:hAnsi="宋体"/>
          <w:sz w:val="28"/>
          <w:szCs w:val="28"/>
        </w:rPr>
        <w:t>二、就业质量</w:t>
      </w:r>
      <w:r>
        <w:rPr>
          <w:rFonts w:hint="eastAsia"/>
          <w:sz w:val="28"/>
          <w:szCs w:val="28"/>
        </w:rPr>
        <w:t>相关分析</w:t>
      </w:r>
      <w:bookmarkEnd w:id="65"/>
    </w:p>
    <w:p>
      <w:pPr>
        <w:pStyle w:val="4"/>
        <w:spacing w:before="0" w:after="0" w:line="500" w:lineRule="exact"/>
        <w:ind w:firstLine="562" w:firstLineChars="200"/>
        <w:rPr>
          <w:sz w:val="28"/>
          <w:szCs w:val="28"/>
        </w:rPr>
      </w:pPr>
      <w:bookmarkStart w:id="66" w:name="_Toc533861946"/>
      <w:r>
        <w:rPr>
          <w:rFonts w:hint="eastAsia"/>
          <w:sz w:val="28"/>
          <w:szCs w:val="28"/>
        </w:rPr>
        <w:t>（一）工作满意度</w:t>
      </w:r>
      <w:bookmarkEnd w:id="66"/>
    </w:p>
    <w:p>
      <w:pPr>
        <w:spacing w:line="500" w:lineRule="exact"/>
        <w:ind w:firstLine="480" w:firstLineChars="200"/>
        <w:rPr>
          <w:rFonts w:ascii="宋体"/>
          <w:sz w:val="24"/>
          <w:szCs w:val="24"/>
        </w:rPr>
      </w:pPr>
      <w:r>
        <w:rPr>
          <w:rFonts w:hint="eastAsia" w:ascii="宋体" w:hAnsi="宋体"/>
          <w:sz w:val="24"/>
          <w:szCs w:val="24"/>
        </w:rPr>
        <w:t>根据调研数据，已落实就业单位的毕业生对目前就业状况的满意度为</w:t>
      </w:r>
      <w:r>
        <w:rPr>
          <w:rFonts w:ascii="宋体" w:hAnsi="宋体"/>
          <w:sz w:val="24"/>
          <w:szCs w:val="24"/>
        </w:rPr>
        <w:t>90.38%</w:t>
      </w:r>
      <w:r>
        <w:rPr>
          <w:rFonts w:hint="eastAsia" w:ascii="宋体" w:hAnsi="宋体"/>
          <w:sz w:val="24"/>
          <w:szCs w:val="24"/>
        </w:rPr>
        <w:t>，其中</w:t>
      </w:r>
      <w:r>
        <w:rPr>
          <w:rFonts w:hint="eastAsia" w:ascii="宋体"/>
          <w:sz w:val="24"/>
          <w:szCs w:val="24"/>
        </w:rPr>
        <w:t>“</w:t>
      </w:r>
      <w:r>
        <w:rPr>
          <w:rFonts w:hint="eastAsia" w:ascii="宋体" w:hAnsi="宋体"/>
          <w:sz w:val="24"/>
          <w:szCs w:val="24"/>
        </w:rPr>
        <w:t>非常满意</w:t>
      </w:r>
      <w:r>
        <w:rPr>
          <w:rFonts w:hint="eastAsia" w:ascii="宋体"/>
          <w:sz w:val="24"/>
          <w:szCs w:val="24"/>
        </w:rPr>
        <w:t>”</w:t>
      </w:r>
      <w:r>
        <w:rPr>
          <w:rFonts w:ascii="宋体" w:hAnsi="宋体"/>
          <w:sz w:val="24"/>
          <w:szCs w:val="24"/>
        </w:rPr>
        <w:t>15.8%</w:t>
      </w:r>
      <w:r>
        <w:rPr>
          <w:rFonts w:hint="eastAsia" w:ascii="宋体" w:hAnsi="宋体"/>
          <w:sz w:val="24"/>
          <w:szCs w:val="24"/>
        </w:rPr>
        <w:t>，</w:t>
      </w:r>
      <w:r>
        <w:rPr>
          <w:rFonts w:hint="eastAsia" w:ascii="宋体"/>
          <w:sz w:val="24"/>
          <w:szCs w:val="24"/>
        </w:rPr>
        <w:t>“</w:t>
      </w:r>
      <w:r>
        <w:rPr>
          <w:rFonts w:hint="eastAsia" w:ascii="宋体" w:hAnsi="宋体"/>
          <w:sz w:val="24"/>
          <w:szCs w:val="24"/>
        </w:rPr>
        <w:t>满意</w:t>
      </w:r>
      <w:r>
        <w:rPr>
          <w:rFonts w:hint="eastAsia" w:ascii="宋体"/>
          <w:sz w:val="24"/>
          <w:szCs w:val="24"/>
        </w:rPr>
        <w:t>”</w:t>
      </w:r>
      <w:r>
        <w:rPr>
          <w:rFonts w:ascii="宋体" w:hAnsi="宋体"/>
          <w:sz w:val="24"/>
          <w:szCs w:val="24"/>
        </w:rPr>
        <w:t>36.42%</w:t>
      </w:r>
      <w:r>
        <w:rPr>
          <w:rFonts w:hint="eastAsia" w:ascii="宋体" w:hAnsi="宋体"/>
          <w:sz w:val="24"/>
          <w:szCs w:val="24"/>
        </w:rPr>
        <w:t>，</w:t>
      </w:r>
      <w:r>
        <w:rPr>
          <w:rFonts w:hint="eastAsia" w:ascii="宋体"/>
          <w:sz w:val="24"/>
          <w:szCs w:val="24"/>
        </w:rPr>
        <w:t>“</w:t>
      </w:r>
      <w:r>
        <w:rPr>
          <w:rFonts w:hint="eastAsia" w:ascii="宋体" w:hAnsi="宋体"/>
          <w:sz w:val="24"/>
          <w:szCs w:val="24"/>
        </w:rPr>
        <w:t>比较满意</w:t>
      </w:r>
      <w:r>
        <w:rPr>
          <w:rFonts w:hint="eastAsia" w:ascii="宋体"/>
          <w:sz w:val="24"/>
          <w:szCs w:val="24"/>
        </w:rPr>
        <w:t>”</w:t>
      </w:r>
      <w:r>
        <w:rPr>
          <w:rFonts w:ascii="宋体" w:hAnsi="宋体"/>
          <w:sz w:val="24"/>
          <w:szCs w:val="24"/>
        </w:rPr>
        <w:t>38.16%</w:t>
      </w:r>
      <w:r>
        <w:rPr>
          <w:rFonts w:hint="eastAsia" w:ascii="宋体" w:hAnsi="宋体"/>
          <w:sz w:val="24"/>
          <w:szCs w:val="24"/>
        </w:rPr>
        <w:t>，详见图3</w:t>
      </w:r>
      <w:r>
        <w:rPr>
          <w:rFonts w:ascii="宋体" w:hAnsi="宋体"/>
          <w:sz w:val="24"/>
          <w:szCs w:val="24"/>
        </w:rPr>
        <w:t>-5</w:t>
      </w:r>
      <w:r>
        <w:rPr>
          <w:rFonts w:hint="eastAsia" w:ascii="宋体" w:hAnsi="宋体"/>
          <w:sz w:val="24"/>
          <w:szCs w:val="24"/>
        </w:rPr>
        <w:t>。</w:t>
      </w:r>
      <w:r>
        <w:t xml:space="preserve">                                         </w:t>
      </w:r>
    </w:p>
    <w:p>
      <w:pPr>
        <w:pStyle w:val="4"/>
        <w:spacing w:before="0" w:after="0" w:line="500" w:lineRule="exact"/>
        <w:ind w:firstLine="562" w:firstLineChars="200"/>
        <w:rPr>
          <w:sz w:val="28"/>
          <w:szCs w:val="28"/>
        </w:rPr>
      </w:pPr>
      <w:bookmarkStart w:id="67" w:name="_Toc533861947"/>
      <w:r>
        <w:rPr>
          <w:rFonts w:hint="eastAsia"/>
          <w:sz w:val="28"/>
          <w:szCs w:val="28"/>
        </w:rPr>
        <w:t>（二）薪资水平</w:t>
      </w:r>
      <w:bookmarkEnd w:id="67"/>
    </w:p>
    <w:p>
      <w:pPr>
        <w:spacing w:line="500" w:lineRule="exact"/>
        <w:ind w:firstLine="480" w:firstLineChars="200"/>
        <w:rPr>
          <w:rFonts w:ascii="宋体" w:hAnsi="宋体"/>
          <w:sz w:val="24"/>
          <w:szCs w:val="24"/>
        </w:rPr>
      </w:pPr>
      <w:r>
        <w:rPr>
          <w:rFonts w:hint="eastAsia" w:ascii="宋体" w:hAnsi="宋体"/>
          <w:sz w:val="24"/>
          <w:szCs w:val="24"/>
        </w:rPr>
        <w:t>毕业生的起薪水平，是指应届毕业生在与用人单位签订正式劳动合同时约定的薪酬水平，包括工资、奖金、业绩提成、福利补贴等各种形式的收入。调研数据显示，此次调查显示，我院</w:t>
      </w:r>
      <w:r>
        <w:rPr>
          <w:rFonts w:ascii="宋体" w:hAnsi="宋体"/>
          <w:sz w:val="24"/>
          <w:szCs w:val="24"/>
        </w:rPr>
        <w:t>80.81%</w:t>
      </w:r>
      <w:r>
        <w:rPr>
          <w:rFonts w:hint="eastAsia" w:ascii="宋体" w:hAnsi="宋体"/>
          <w:sz w:val="24"/>
          <w:szCs w:val="24"/>
        </w:rPr>
        <w:t>的</w:t>
      </w:r>
      <w:r>
        <w:rPr>
          <w:rFonts w:ascii="宋体" w:hAnsi="宋体"/>
          <w:sz w:val="24"/>
          <w:szCs w:val="24"/>
        </w:rPr>
        <w:t>2017</w:t>
      </w:r>
      <w:r>
        <w:rPr>
          <w:rFonts w:hint="eastAsia" w:ascii="宋体" w:hAnsi="宋体"/>
          <w:sz w:val="24"/>
          <w:szCs w:val="24"/>
        </w:rPr>
        <w:t>届毕</w:t>
      </w:r>
    </w:p>
    <w:tbl>
      <w:tblPr>
        <w:tblStyle w:val="20"/>
        <w:tblW w:w="9060"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0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021" w:hRule="atLeast"/>
          <w:jc w:val="center"/>
        </w:trPr>
        <w:tc>
          <w:tcPr>
            <w:tcW w:w="9060" w:type="dxa"/>
          </w:tcPr>
          <w:p>
            <w:pPr>
              <w:spacing w:line="60" w:lineRule="exact"/>
              <w:rPr>
                <w:rFonts w:ascii="宋体" w:hAnsi="宋体"/>
                <w:sz w:val="24"/>
                <w:szCs w:val="24"/>
              </w:rPr>
            </w:pPr>
            <w:r>
              <w:rPr>
                <w:rFonts w:ascii="宋体" w:hAnsi="宋体"/>
                <w:sz w:val="24"/>
                <w:szCs w:val="24"/>
              </w:rPr>
              <w:drawing>
                <wp:anchor distT="0" distB="0" distL="114300" distR="114300" simplePos="0" relativeHeight="251717632" behindDoc="0" locked="0" layoutInCell="1" allowOverlap="1">
                  <wp:simplePos x="0" y="0"/>
                  <wp:positionH relativeFrom="column">
                    <wp:posOffset>172085</wp:posOffset>
                  </wp:positionH>
                  <wp:positionV relativeFrom="paragraph">
                    <wp:posOffset>56515</wp:posOffset>
                  </wp:positionV>
                  <wp:extent cx="5263515" cy="3005455"/>
                  <wp:effectExtent l="0" t="0" r="13335" b="4445"/>
                  <wp:wrapSquare wrapText="bothSides"/>
                  <wp:docPr id="19" name="图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exact"/>
          <w:jc w:val="center"/>
        </w:trPr>
        <w:tc>
          <w:tcPr>
            <w:tcW w:w="9060" w:type="dxa"/>
          </w:tcPr>
          <w:p>
            <w:pPr>
              <w:spacing w:line="360" w:lineRule="auto"/>
              <w:jc w:val="center"/>
              <w:rPr>
                <w:rFonts w:ascii="宋体" w:hAnsi="宋体"/>
                <w:sz w:val="24"/>
                <w:szCs w:val="24"/>
              </w:rPr>
            </w:pPr>
            <w:r>
              <w:rPr>
                <w:rFonts w:hint="eastAsia" w:asciiTheme="minorEastAsia" w:hAnsiTheme="minorEastAsia" w:eastAsiaTheme="minorEastAsia"/>
                <w:b/>
              </w:rPr>
              <w:t>图</w:t>
            </w:r>
            <w:r>
              <w:rPr>
                <w:rFonts w:asciiTheme="minorEastAsia" w:hAnsiTheme="minorEastAsia" w:eastAsiaTheme="minorEastAsia"/>
                <w:b/>
              </w:rPr>
              <w:t xml:space="preserve">3-6  </w:t>
            </w:r>
            <w:r>
              <w:rPr>
                <w:rFonts w:hint="eastAsia" w:asciiTheme="minorEastAsia" w:hAnsiTheme="minorEastAsia" w:eastAsiaTheme="minorEastAsia"/>
                <w:b/>
              </w:rPr>
              <w:t>学院</w:t>
            </w:r>
            <w:r>
              <w:rPr>
                <w:rFonts w:asciiTheme="minorEastAsia" w:hAnsiTheme="minorEastAsia" w:eastAsiaTheme="minorEastAsia"/>
                <w:b/>
              </w:rPr>
              <w:t>2018</w:t>
            </w:r>
            <w:r>
              <w:rPr>
                <w:rFonts w:hint="eastAsia" w:asciiTheme="minorEastAsia" w:hAnsiTheme="minorEastAsia" w:eastAsiaTheme="minorEastAsia"/>
                <w:b/>
              </w:rPr>
              <w:t>届毕业生起薪水平（年薪）区间分布</w:t>
            </w:r>
          </w:p>
        </w:tc>
      </w:tr>
    </w:tbl>
    <w:p>
      <w:pPr>
        <w:spacing w:line="560" w:lineRule="exact"/>
        <w:rPr>
          <w:rFonts w:ascii="宋体" w:cs="宋体"/>
          <w:kern w:val="0"/>
          <w:sz w:val="24"/>
          <w:szCs w:val="24"/>
        </w:rPr>
      </w:pPr>
      <w:r>
        <w:rPr>
          <w:rFonts w:hint="eastAsia" w:ascii="宋体" w:hAnsi="宋体"/>
          <w:sz w:val="24"/>
          <w:szCs w:val="24"/>
        </w:rPr>
        <w:t>业生薪资水平为月薪</w:t>
      </w:r>
      <w:r>
        <w:rPr>
          <w:rFonts w:ascii="宋体" w:hAnsi="宋体"/>
          <w:sz w:val="24"/>
          <w:szCs w:val="24"/>
        </w:rPr>
        <w:t>3000-5000</w:t>
      </w:r>
      <w:r>
        <w:rPr>
          <w:rFonts w:hint="eastAsia" w:ascii="宋体" w:hAnsi="宋体"/>
          <w:sz w:val="24"/>
          <w:szCs w:val="24"/>
        </w:rPr>
        <w:t>元，有</w:t>
      </w:r>
      <w:r>
        <w:rPr>
          <w:rFonts w:ascii="宋体" w:hAnsi="宋体"/>
          <w:sz w:val="24"/>
          <w:szCs w:val="24"/>
        </w:rPr>
        <w:t>6.28%</w:t>
      </w:r>
      <w:r>
        <w:rPr>
          <w:rFonts w:hint="eastAsia" w:ascii="宋体" w:hAnsi="宋体"/>
          <w:sz w:val="24"/>
          <w:szCs w:val="24"/>
        </w:rPr>
        <w:t>的毕业生月薪为</w:t>
      </w:r>
      <w:r>
        <w:rPr>
          <w:rFonts w:ascii="宋体" w:hAnsi="宋体"/>
          <w:sz w:val="24"/>
          <w:szCs w:val="24"/>
        </w:rPr>
        <w:t>5000</w:t>
      </w:r>
      <w:r>
        <w:rPr>
          <w:rFonts w:hint="eastAsia" w:ascii="宋体" w:hAnsi="宋体"/>
          <w:sz w:val="24"/>
          <w:szCs w:val="24"/>
        </w:rPr>
        <w:t>元以上，有</w:t>
      </w:r>
      <w:r>
        <w:rPr>
          <w:rFonts w:ascii="宋体" w:hAnsi="宋体"/>
          <w:sz w:val="24"/>
          <w:szCs w:val="24"/>
        </w:rPr>
        <w:t>4.01%</w:t>
      </w:r>
      <w:r>
        <w:rPr>
          <w:rFonts w:hint="eastAsia" w:ascii="宋体" w:hAnsi="宋体"/>
          <w:sz w:val="24"/>
          <w:szCs w:val="24"/>
        </w:rPr>
        <w:t>的毕业生月薪水平在</w:t>
      </w:r>
      <w:r>
        <w:rPr>
          <w:rFonts w:ascii="宋体" w:hAnsi="宋体"/>
          <w:sz w:val="24"/>
          <w:szCs w:val="24"/>
        </w:rPr>
        <w:t>6000</w:t>
      </w:r>
      <w:r>
        <w:rPr>
          <w:rFonts w:hint="eastAsia" w:ascii="宋体" w:hAnsi="宋体"/>
          <w:sz w:val="24"/>
          <w:szCs w:val="24"/>
        </w:rPr>
        <w:t>元以上，另外还有</w:t>
      </w:r>
      <w:r>
        <w:rPr>
          <w:rFonts w:ascii="宋体" w:hAnsi="宋体"/>
          <w:sz w:val="24"/>
          <w:szCs w:val="24"/>
        </w:rPr>
        <w:t>8.9%</w:t>
      </w:r>
      <w:r>
        <w:rPr>
          <w:rFonts w:hint="eastAsia" w:ascii="宋体" w:hAnsi="宋体"/>
          <w:sz w:val="24"/>
          <w:szCs w:val="24"/>
        </w:rPr>
        <w:t>的毕业生月薪水平为</w:t>
      </w:r>
      <w:r>
        <w:rPr>
          <w:rFonts w:ascii="宋体" w:hAnsi="宋体"/>
          <w:sz w:val="24"/>
          <w:szCs w:val="24"/>
        </w:rPr>
        <w:t>3000</w:t>
      </w:r>
      <w:r>
        <w:rPr>
          <w:rFonts w:hint="eastAsia" w:ascii="宋体" w:hAnsi="宋体"/>
          <w:sz w:val="24"/>
          <w:szCs w:val="24"/>
        </w:rPr>
        <w:t>元以下，具体分布见图</w:t>
      </w:r>
      <w:r>
        <w:rPr>
          <w:rFonts w:ascii="宋体" w:hAnsi="宋体"/>
          <w:sz w:val="24"/>
          <w:szCs w:val="24"/>
        </w:rPr>
        <w:t>3-6</w:t>
      </w:r>
      <w:r>
        <w:rPr>
          <w:rFonts w:hint="eastAsia" w:ascii="宋体" w:hAnsi="宋体"/>
          <w:sz w:val="24"/>
          <w:szCs w:val="24"/>
        </w:rPr>
        <w:t>。</w:t>
      </w:r>
    </w:p>
    <w:p>
      <w:pPr>
        <w:spacing w:line="560" w:lineRule="exact"/>
        <w:ind w:firstLine="480" w:firstLineChars="200"/>
        <w:rPr>
          <w:rFonts w:ascii="宋体" w:hAnsi="宋体"/>
          <w:sz w:val="24"/>
          <w:szCs w:val="24"/>
        </w:rPr>
      </w:pPr>
      <w:r>
        <w:rPr>
          <w:rFonts w:ascii="宋体" w:hAnsi="宋体"/>
          <w:sz w:val="24"/>
          <w:szCs w:val="24"/>
        </w:rPr>
        <mc:AlternateContent>
          <mc:Choice Requires="wps">
            <w:drawing>
              <wp:anchor distT="45720" distB="45720" distL="114300" distR="114300" simplePos="0" relativeHeight="251667456" behindDoc="0" locked="0" layoutInCell="1" allowOverlap="1">
                <wp:simplePos x="0" y="0"/>
                <wp:positionH relativeFrom="column">
                  <wp:posOffset>1221740</wp:posOffset>
                </wp:positionH>
                <wp:positionV relativeFrom="paragraph">
                  <wp:posOffset>4808220</wp:posOffset>
                </wp:positionV>
                <wp:extent cx="3205480" cy="342265"/>
                <wp:effectExtent l="0" t="0" r="0" b="635"/>
                <wp:wrapSquare wrapText="bothSides"/>
                <wp:docPr id="15" name="Text Box 6"/>
                <wp:cNvGraphicFramePr/>
                <a:graphic xmlns:a="http://schemas.openxmlformats.org/drawingml/2006/main">
                  <a:graphicData uri="http://schemas.microsoft.com/office/word/2010/wordprocessingShape">
                    <wps:wsp>
                      <wps:cNvSpPr txBox="1">
                        <a:spLocks noChangeArrowheads="1"/>
                      </wps:cNvSpPr>
                      <wps:spPr bwMode="auto">
                        <a:xfrm>
                          <a:off x="0" y="0"/>
                          <a:ext cx="3205480" cy="342265"/>
                        </a:xfrm>
                        <a:prstGeom prst="rect">
                          <a:avLst/>
                        </a:prstGeom>
                        <a:noFill/>
                        <a:ln>
                          <a:noFill/>
                        </a:ln>
                      </wps:spPr>
                      <wps:txbx>
                        <w:txbxContent>
                          <w:p>
                            <w:pPr>
                              <w:spacing w:line="360" w:lineRule="auto"/>
                              <w:jc w:val="center"/>
                              <w:rPr>
                                <w:rFonts w:asciiTheme="minorEastAsia" w:hAnsiTheme="minorEastAsia" w:eastAsiaTheme="minorEastAsia"/>
                                <w:b/>
                              </w:rPr>
                            </w:pPr>
                            <w:r>
                              <w:rPr>
                                <w:rFonts w:hint="eastAsia" w:asciiTheme="minorEastAsia" w:hAnsiTheme="minorEastAsia" w:eastAsiaTheme="minorEastAsia"/>
                                <w:b/>
                              </w:rPr>
                              <w:t>图</w:t>
                            </w:r>
                            <w:r>
                              <w:rPr>
                                <w:rFonts w:asciiTheme="minorEastAsia" w:hAnsiTheme="minorEastAsia" w:eastAsiaTheme="minorEastAsia"/>
                                <w:b/>
                              </w:rPr>
                              <w:t xml:space="preserve">3-7  </w:t>
                            </w:r>
                            <w:r>
                              <w:rPr>
                                <w:rFonts w:hint="eastAsia" w:asciiTheme="minorEastAsia" w:hAnsiTheme="minorEastAsia" w:eastAsiaTheme="minorEastAsia"/>
                                <w:b/>
                              </w:rPr>
                              <w:t>学院各系在各薪酬水平分布区间的占比</w:t>
                            </w:r>
                          </w:p>
                          <w:p/>
                        </w:txbxContent>
                      </wps:txbx>
                      <wps:bodyPr rot="0" vert="horz" wrap="square" lIns="91440" tIns="45720" rIns="91440" bIns="45720" anchor="t" anchorCtr="0" upright="1">
                        <a:noAutofit/>
                      </wps:bodyPr>
                    </wps:wsp>
                  </a:graphicData>
                </a:graphic>
              </wp:anchor>
            </w:drawing>
          </mc:Choice>
          <mc:Fallback>
            <w:pict>
              <v:shape id="Text Box 6" o:spid="_x0000_s1026" o:spt="202" type="#_x0000_t202" style="position:absolute;left:0pt;margin-left:96.2pt;margin-top:378.6pt;height:26.95pt;width:252.4pt;mso-wrap-distance-bottom:3.6pt;mso-wrap-distance-left:9pt;mso-wrap-distance-right:9pt;mso-wrap-distance-top:3.6pt;z-index:251667456;mso-width-relative:page;mso-height-relative:page;" filled="f" stroked="f" coordsize="21600,21600" o:gfxdata="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10;Zmqb1wAAAAsBAAAPAAAAAAAAAAEAIAAAACIAAABkcnMvZG93bnJldi54bWxQSwECFAAUAAAACACH&#10;TuJAfvp59+wBAADHAwAADgAAAAAAAAABACAAAAAmAQAAZHJzL2Uyb0RvYy54bWxQSwUGAAAAAAYA&#10;BgBZAQAAhAUAAAAA&#10;">
                <v:fill on="f" focussize="0,0"/>
                <v:stroke on="f"/>
                <v:imagedata o:title=""/>
                <o:lock v:ext="edit" aspectratio="f"/>
                <v:textbox>
                  <w:txbxContent>
                    <w:p>
                      <w:pPr>
                        <w:spacing w:line="360" w:lineRule="auto"/>
                        <w:jc w:val="center"/>
                        <w:rPr>
                          <w:rFonts w:asciiTheme="minorEastAsia" w:hAnsiTheme="minorEastAsia" w:eastAsiaTheme="minorEastAsia"/>
                          <w:b/>
                        </w:rPr>
                      </w:pPr>
                      <w:r>
                        <w:rPr>
                          <w:rFonts w:hint="eastAsia" w:asciiTheme="minorEastAsia" w:hAnsiTheme="minorEastAsia" w:eastAsiaTheme="minorEastAsia"/>
                          <w:b/>
                        </w:rPr>
                        <w:t>图</w:t>
                      </w:r>
                      <w:r>
                        <w:rPr>
                          <w:rFonts w:asciiTheme="minorEastAsia" w:hAnsiTheme="minorEastAsia" w:eastAsiaTheme="minorEastAsia"/>
                          <w:b/>
                        </w:rPr>
                        <w:t xml:space="preserve">3-7  </w:t>
                      </w:r>
                      <w:r>
                        <w:rPr>
                          <w:rFonts w:hint="eastAsia" w:asciiTheme="minorEastAsia" w:hAnsiTheme="minorEastAsia" w:eastAsiaTheme="minorEastAsia"/>
                          <w:b/>
                        </w:rPr>
                        <w:t>学院各系在各薪酬水平分布区间的占比</w:t>
                      </w:r>
                    </w:p>
                    <w:p/>
                  </w:txbxContent>
                </v:textbox>
                <w10:wrap type="square"/>
              </v:shape>
            </w:pict>
          </mc:Fallback>
        </mc:AlternateContent>
      </w:r>
      <w:r>
        <w:rPr>
          <w:rFonts w:ascii="宋体" w:cs="宋体"/>
          <w:kern w:val="0"/>
          <w:sz w:val="24"/>
          <w:szCs w:val="24"/>
        </w:rPr>
        <w:drawing>
          <wp:anchor distT="0" distB="0" distL="114300" distR="114300" simplePos="0" relativeHeight="251679744" behindDoc="0" locked="0" layoutInCell="1" allowOverlap="1">
            <wp:simplePos x="0" y="0"/>
            <wp:positionH relativeFrom="column">
              <wp:posOffset>304800</wp:posOffset>
            </wp:positionH>
            <wp:positionV relativeFrom="paragraph">
              <wp:posOffset>2210435</wp:posOffset>
            </wp:positionV>
            <wp:extent cx="5332730" cy="2606040"/>
            <wp:effectExtent l="0" t="0" r="0" b="0"/>
            <wp:wrapSquare wrapText="bothSides"/>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332730" cy="2606040"/>
                    </a:xfrm>
                    <a:prstGeom prst="rect">
                      <a:avLst/>
                    </a:prstGeom>
                    <a:noFill/>
                    <a:ln>
                      <a:noFill/>
                    </a:ln>
                  </pic:spPr>
                </pic:pic>
              </a:graphicData>
            </a:graphic>
          </wp:anchor>
        </w:drawing>
      </w:r>
      <w:r>
        <w:rPr>
          <w:rFonts w:hint="eastAsia" w:ascii="宋体" w:hAnsi="宋体"/>
          <w:sz w:val="24"/>
          <w:szCs w:val="24"/>
        </w:rPr>
        <w:t>调查显示，在</w:t>
      </w:r>
      <w:r>
        <w:rPr>
          <w:rFonts w:ascii="宋体" w:hAnsi="宋体"/>
          <w:sz w:val="24"/>
          <w:szCs w:val="24"/>
        </w:rPr>
        <w:t>5</w:t>
      </w:r>
      <w:r>
        <w:rPr>
          <w:rFonts w:hint="eastAsia" w:ascii="宋体" w:hAnsi="宋体"/>
          <w:sz w:val="24"/>
          <w:szCs w:val="24"/>
        </w:rPr>
        <w:t>万以上的较高起薪水平区间，电子信息工程系、畜牧系、兽医系、食品科学系的毕业生明显占了比较大的比例；而车辆工程系、机械工程系在</w:t>
      </w:r>
      <w:r>
        <w:rPr>
          <w:rFonts w:ascii="宋体" w:hAnsi="宋体"/>
          <w:sz w:val="24"/>
          <w:szCs w:val="24"/>
        </w:rPr>
        <w:t>3</w:t>
      </w:r>
      <w:r>
        <w:rPr>
          <w:rFonts w:hint="eastAsia" w:ascii="宋体" w:hAnsi="宋体"/>
          <w:sz w:val="24"/>
          <w:szCs w:val="24"/>
        </w:rPr>
        <w:t>万以下、</w:t>
      </w:r>
      <w:r>
        <w:rPr>
          <w:rFonts w:ascii="宋体" w:hAnsi="宋体"/>
          <w:sz w:val="24"/>
          <w:szCs w:val="24"/>
        </w:rPr>
        <w:t>3-4</w:t>
      </w:r>
      <w:r>
        <w:rPr>
          <w:rFonts w:hint="eastAsia" w:ascii="宋体" w:hAnsi="宋体"/>
          <w:sz w:val="24"/>
          <w:szCs w:val="24"/>
        </w:rPr>
        <w:t>万均有较大比例的原因，可能与从事汽车维修和营销对新入职的学生有一定时间的适应和磨练期。而机械行业与国家的大气候有关，这可能也与机械加工行业的薪酬结构有关，一般来说这些行业的基础岗位起薪都不高，但收入相对稳定。图</w:t>
      </w:r>
      <w:r>
        <w:rPr>
          <w:rFonts w:ascii="宋体" w:hAnsi="宋体"/>
          <w:sz w:val="24"/>
          <w:szCs w:val="24"/>
        </w:rPr>
        <w:t>3-7</w:t>
      </w:r>
      <w:r>
        <w:rPr>
          <w:rFonts w:hint="eastAsia" w:ascii="宋体" w:hAnsi="宋体"/>
          <w:sz w:val="24"/>
          <w:szCs w:val="24"/>
        </w:rPr>
        <w:t>是此次调查中我院各系的起薪水平分布图。</w:t>
      </w:r>
    </w:p>
    <w:p>
      <w:pPr>
        <w:spacing w:line="500" w:lineRule="exact"/>
        <w:ind w:firstLine="480" w:firstLineChars="200"/>
        <w:rPr>
          <w:rFonts w:ascii="宋体" w:hAnsi="宋体"/>
          <w:sz w:val="24"/>
          <w:szCs w:val="24"/>
        </w:rPr>
      </w:pPr>
    </w:p>
    <w:p>
      <w:pPr>
        <w:pStyle w:val="3"/>
        <w:spacing w:before="0" w:after="0" w:line="120" w:lineRule="exact"/>
        <w:ind w:firstLine="562" w:firstLineChars="200"/>
        <w:rPr>
          <w:rFonts w:ascii="宋体" w:hAnsi="宋体"/>
          <w:sz w:val="28"/>
          <w:szCs w:val="28"/>
        </w:rPr>
      </w:pPr>
    </w:p>
    <w:p>
      <w:pPr>
        <w:pStyle w:val="3"/>
        <w:spacing w:before="0" w:after="0" w:line="500" w:lineRule="exact"/>
        <w:ind w:firstLine="562" w:firstLineChars="200"/>
        <w:rPr>
          <w:rFonts w:ascii="宋体" w:hAnsi="宋体"/>
          <w:sz w:val="28"/>
          <w:szCs w:val="28"/>
        </w:rPr>
      </w:pPr>
      <w:bookmarkStart w:id="68" w:name="_Toc533861948"/>
      <w:r>
        <w:rPr>
          <w:rFonts w:hint="eastAsia" w:ascii="宋体" w:hAnsi="宋体"/>
          <w:sz w:val="28"/>
          <w:szCs w:val="28"/>
        </w:rPr>
        <w:t>三、用人单位对毕业生的评价</w:t>
      </w:r>
      <w:bookmarkEnd w:id="68"/>
    </w:p>
    <w:p>
      <w:pPr>
        <w:pStyle w:val="4"/>
        <w:spacing w:before="0" w:after="0" w:line="500" w:lineRule="exact"/>
        <w:ind w:firstLine="562" w:firstLineChars="200"/>
        <w:rPr>
          <w:sz w:val="28"/>
          <w:szCs w:val="28"/>
        </w:rPr>
      </w:pPr>
      <w:bookmarkStart w:id="69" w:name="_Toc533861949"/>
      <w:r>
        <w:rPr>
          <w:rFonts w:hint="eastAsia"/>
          <w:sz w:val="28"/>
          <w:szCs w:val="28"/>
        </w:rPr>
        <w:t>（一）对毕业生就业竞争力的评价</w:t>
      </w:r>
      <w:bookmarkEnd w:id="69"/>
    </w:p>
    <w:p>
      <w:pPr>
        <w:spacing w:line="600" w:lineRule="exact"/>
        <w:ind w:firstLine="480" w:firstLineChars="200"/>
        <w:rPr>
          <w:sz w:val="28"/>
          <w:szCs w:val="28"/>
        </w:rPr>
      </w:pPr>
      <w:r>
        <w:rPr>
          <w:rFonts w:hint="eastAsia" w:ascii="宋体" w:hAnsi="宋体"/>
          <w:sz w:val="24"/>
          <w:szCs w:val="24"/>
        </w:rPr>
        <w:t>根据调研数据，用人单位对毕业生以上</w:t>
      </w:r>
      <w:r>
        <w:rPr>
          <w:rFonts w:ascii="宋体" w:hAnsi="宋体"/>
          <w:sz w:val="24"/>
          <w:szCs w:val="24"/>
        </w:rPr>
        <w:t>12</w:t>
      </w:r>
      <w:r>
        <w:rPr>
          <w:rFonts w:hint="eastAsia" w:ascii="宋体" w:hAnsi="宋体"/>
          <w:sz w:val="24"/>
          <w:szCs w:val="24"/>
        </w:rPr>
        <w:t>种基本素质的评价满意度得分均在3.90</w:t>
      </w:r>
      <w:r>
        <w:rPr>
          <w:rFonts w:ascii="宋体" w:hAnsi="宋体"/>
          <w:sz w:val="24"/>
          <w:szCs w:val="24"/>
        </w:rPr>
        <w:t xml:space="preserve"> </w:t>
      </w:r>
      <w:r>
        <w:rPr>
          <w:rFonts w:hint="eastAsia" w:ascii="宋体" w:hAnsi="宋体"/>
          <w:sz w:val="24"/>
          <w:szCs w:val="24"/>
        </w:rPr>
        <w:t>分以上，其中敬业精神</w:t>
      </w:r>
      <w:r>
        <w:rPr>
          <w:rFonts w:ascii="宋体" w:hAnsi="宋体"/>
          <w:sz w:val="24"/>
          <w:szCs w:val="24"/>
        </w:rPr>
        <w:t>与职业道德</w:t>
      </w:r>
      <w:r>
        <w:rPr>
          <w:rFonts w:hint="eastAsia" w:ascii="宋体" w:hAnsi="宋体"/>
          <w:sz w:val="24"/>
          <w:szCs w:val="24"/>
        </w:rPr>
        <w:t>为4.52分，吃苦耐劳精神与抗压抗挫能力</w:t>
      </w:r>
      <w:r>
        <w:rPr>
          <w:rFonts w:ascii="宋体" w:hAnsi="宋体"/>
          <w:sz w:val="24"/>
          <w:szCs w:val="24"/>
        </w:rPr>
        <w:t>均为4.</w:t>
      </w:r>
      <w:r>
        <w:rPr>
          <w:rFonts w:hint="eastAsia" w:ascii="宋体" w:hAnsi="宋体"/>
          <w:sz w:val="24"/>
          <w:szCs w:val="24"/>
        </w:rPr>
        <w:t>48</w:t>
      </w:r>
      <w:r>
        <w:rPr>
          <w:rFonts w:ascii="宋体" w:hAnsi="宋体"/>
          <w:sz w:val="24"/>
          <w:szCs w:val="24"/>
        </w:rPr>
        <w:t xml:space="preserve"> </w:t>
      </w:r>
      <w:r>
        <w:rPr>
          <w:rFonts w:hint="eastAsia" w:ascii="宋体" w:hAnsi="宋体"/>
          <w:sz w:val="24"/>
          <w:szCs w:val="24"/>
        </w:rPr>
        <w:t>分，说明用人单位对毕业生的这三项项能力非常认可，而相比之下，毕业生的灵活应变能力和创新能力相对较低，见</w:t>
      </w:r>
      <w:r>
        <w:rPr>
          <w:rFonts w:ascii="宋体" w:hAnsi="宋体"/>
          <w:sz w:val="24"/>
          <w:szCs w:val="24"/>
        </w:rPr>
        <w:t>3-8</w:t>
      </w:r>
      <w:r>
        <w:rPr>
          <w:rFonts w:hint="eastAsia" w:ascii="宋体" w:hAnsi="宋体"/>
          <w:sz w:val="24"/>
          <w:szCs w:val="24"/>
        </w:rPr>
        <w:t>图。</w:t>
      </w:r>
    </w:p>
    <w:tbl>
      <w:tblPr>
        <w:tblStyle w:val="20"/>
        <w:tblW w:w="896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9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139" w:hRule="atLeast"/>
        </w:trPr>
        <w:tc>
          <w:tcPr>
            <w:tcW w:w="8969" w:type="dxa"/>
          </w:tcPr>
          <w:p>
            <w:pPr>
              <w:rPr>
                <w:rFonts w:ascii="Times New Roman" w:hAnsi="Times New Roman"/>
                <w:sz w:val="28"/>
                <w:szCs w:val="28"/>
              </w:rPr>
            </w:pPr>
            <w:bookmarkStart w:id="70" w:name="_Toc533798312"/>
            <w:r>
              <w:rPr>
                <w:rFonts w:ascii="宋体" w:hAnsi="宋体"/>
                <w:sz w:val="24"/>
                <w:szCs w:val="24"/>
              </w:rPr>
              <mc:AlternateContent>
                <mc:Choice Requires="wps">
                  <w:drawing>
                    <wp:anchor distT="0" distB="0" distL="114300" distR="114300" simplePos="0" relativeHeight="251724800" behindDoc="0" locked="0" layoutInCell="1" allowOverlap="1">
                      <wp:simplePos x="0" y="0"/>
                      <wp:positionH relativeFrom="column">
                        <wp:posOffset>1134745</wp:posOffset>
                      </wp:positionH>
                      <wp:positionV relativeFrom="paragraph">
                        <wp:posOffset>3422650</wp:posOffset>
                      </wp:positionV>
                      <wp:extent cx="3752850" cy="492760"/>
                      <wp:effectExtent l="0" t="0" r="0" b="2540"/>
                      <wp:wrapNone/>
                      <wp:docPr id="17" name="文本框 17"/>
                      <wp:cNvGraphicFramePr/>
                      <a:graphic xmlns:a="http://schemas.openxmlformats.org/drawingml/2006/main">
                        <a:graphicData uri="http://schemas.microsoft.com/office/word/2010/wordprocessingShape">
                          <wps:wsp>
                            <wps:cNvSpPr txBox="1"/>
                            <wps:spPr>
                              <a:xfrm>
                                <a:off x="0" y="0"/>
                                <a:ext cx="3753016" cy="4929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ind w:firstLine="422" w:firstLineChars="200"/>
                                    <w:rPr>
                                      <w:sz w:val="28"/>
                                      <w:szCs w:val="28"/>
                                    </w:rPr>
                                  </w:pPr>
                                  <w:r>
                                    <w:rPr>
                                      <w:rFonts w:hint="eastAsia" w:asciiTheme="minorEastAsia" w:hAnsiTheme="minorEastAsia" w:eastAsiaTheme="minorEastAsia"/>
                                      <w:b/>
                                    </w:rPr>
                                    <w:t>图</w:t>
                                  </w:r>
                                  <w:r>
                                    <w:rPr>
                                      <w:rFonts w:asciiTheme="minorEastAsia" w:hAnsiTheme="minorEastAsia" w:eastAsiaTheme="minorEastAsia"/>
                                      <w:b/>
                                    </w:rPr>
                                    <w:t xml:space="preserve">3-8  </w:t>
                                  </w:r>
                                  <w:r>
                                    <w:rPr>
                                      <w:rFonts w:hint="eastAsia" w:asciiTheme="minorEastAsia" w:hAnsiTheme="minorEastAsia" w:eastAsiaTheme="minorEastAsia"/>
                                      <w:b/>
                                    </w:rPr>
                                    <w:t>用人单位对2018届毕业生</w:t>
                                  </w:r>
                                  <w:r>
                                    <w:rPr>
                                      <w:rFonts w:hint="eastAsia"/>
                                      <w:b/>
                                    </w:rPr>
                                    <w:t>就业竞争力的评价</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9.35pt;margin-top:269.5pt;height:38.8pt;width:295.5pt;z-index:251724800;mso-width-relative:page;mso-height-relative:page;" filled="f" stroked="f" coordsize="21600,21600" o:gfxdata="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c9GjF2wAAAAsBAAAPAAAAAAAAAAEAIAAAACIAAABkcnMvZG93bnJldi54bWxQSwECFAAUAAAA&#10;CACHTuJAlk7kNiQCAAAoBAAADgAAAAAAAAABACAAAAAqAQAAZHJzL2Uyb0RvYy54bWxQSwUGAAAA&#10;AAYABgBZAQAAwAUAAAAA&#10;">
                      <v:fill on="f" focussize="0,0"/>
                      <v:stroke on="f" weight="0.5pt"/>
                      <v:imagedata o:title=""/>
                      <o:lock v:ext="edit" aspectratio="f"/>
                      <v:textbox>
                        <w:txbxContent>
                          <w:p>
                            <w:pPr>
                              <w:ind w:firstLine="422" w:firstLineChars="200"/>
                              <w:rPr>
                                <w:sz w:val="28"/>
                                <w:szCs w:val="28"/>
                              </w:rPr>
                            </w:pPr>
                            <w:r>
                              <w:rPr>
                                <w:rFonts w:hint="eastAsia" w:asciiTheme="minorEastAsia" w:hAnsiTheme="minorEastAsia" w:eastAsiaTheme="minorEastAsia"/>
                                <w:b/>
                              </w:rPr>
                              <w:t>图</w:t>
                            </w:r>
                            <w:r>
                              <w:rPr>
                                <w:rFonts w:asciiTheme="minorEastAsia" w:hAnsiTheme="minorEastAsia" w:eastAsiaTheme="minorEastAsia"/>
                                <w:b/>
                              </w:rPr>
                              <w:t xml:space="preserve">3-8  </w:t>
                            </w:r>
                            <w:r>
                              <w:rPr>
                                <w:rFonts w:hint="eastAsia" w:asciiTheme="minorEastAsia" w:hAnsiTheme="minorEastAsia" w:eastAsiaTheme="minorEastAsia"/>
                                <w:b/>
                              </w:rPr>
                              <w:t>用人单位对2018届毕业生</w:t>
                            </w:r>
                            <w:r>
                              <w:rPr>
                                <w:rFonts w:hint="eastAsia"/>
                                <w:b/>
                              </w:rPr>
                              <w:t>就业竞争力的评价</w:t>
                            </w:r>
                          </w:p>
                          <w:p/>
                        </w:txbxContent>
                      </v:textbox>
                    </v:shape>
                  </w:pict>
                </mc:Fallback>
              </mc:AlternateContent>
            </w:r>
            <w:r>
              <w:rPr>
                <w:rFonts w:ascii="宋体" w:hAnsi="宋体"/>
                <w:sz w:val="24"/>
                <w:szCs w:val="24"/>
              </w:rPr>
              <w:drawing>
                <wp:anchor distT="0" distB="0" distL="114300" distR="114300" simplePos="0" relativeHeight="251707392" behindDoc="0" locked="0" layoutInCell="1" allowOverlap="1">
                  <wp:simplePos x="0" y="0"/>
                  <wp:positionH relativeFrom="margin">
                    <wp:posOffset>56515</wp:posOffset>
                  </wp:positionH>
                  <wp:positionV relativeFrom="paragraph">
                    <wp:posOffset>45720</wp:posOffset>
                  </wp:positionV>
                  <wp:extent cx="5486400" cy="3362960"/>
                  <wp:effectExtent l="0" t="0" r="0" b="8890"/>
                  <wp:wrapSquare wrapText="bothSides"/>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bookmarkEnd w:id="70"/>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8" w:hRule="exact"/>
        </w:trPr>
        <w:tc>
          <w:tcPr>
            <w:tcW w:w="8969" w:type="dxa"/>
            <w:vAlign w:val="center"/>
          </w:tcPr>
          <w:p>
            <w:pPr>
              <w:ind w:firstLine="560" w:firstLineChars="200"/>
              <w:jc w:val="center"/>
              <w:rPr>
                <w:rFonts w:ascii="Times New Roman" w:hAnsi="Times New Roman"/>
                <w:sz w:val="28"/>
                <w:szCs w:val="28"/>
              </w:rPr>
            </w:pPr>
          </w:p>
        </w:tc>
      </w:tr>
    </w:tbl>
    <w:p>
      <w:pPr>
        <w:pStyle w:val="4"/>
        <w:spacing w:before="0" w:after="0" w:line="500" w:lineRule="exact"/>
        <w:ind w:firstLine="562" w:firstLineChars="200"/>
        <w:rPr>
          <w:sz w:val="28"/>
          <w:szCs w:val="28"/>
        </w:rPr>
      </w:pPr>
      <w:bookmarkStart w:id="71" w:name="_Toc533861950"/>
      <w:r>
        <w:rPr>
          <w:rFonts w:hint="eastAsia"/>
          <w:sz w:val="28"/>
          <w:szCs w:val="28"/>
        </w:rPr>
        <w:t>（二）对毕业生的认可度</w:t>
      </w:r>
      <w:bookmarkEnd w:id="71"/>
      <w:r>
        <w:rPr>
          <w:sz w:val="28"/>
          <w:szCs w:val="28"/>
        </w:rPr>
        <w:t xml:space="preserve"> </w:t>
      </w:r>
    </w:p>
    <w:p>
      <w:pPr>
        <w:spacing w:line="500" w:lineRule="exact"/>
        <w:ind w:firstLine="480" w:firstLineChars="200"/>
        <w:rPr>
          <w:rFonts w:ascii="宋体" w:hAnsi="宋体"/>
          <w:sz w:val="24"/>
          <w:szCs w:val="24"/>
        </w:rPr>
      </w:pPr>
      <w:r>
        <w:rPr>
          <w:rFonts w:hint="eastAsia" w:ascii="宋体" w:hAnsi="宋体"/>
          <w:sz w:val="24"/>
          <w:szCs w:val="24"/>
        </w:rPr>
        <w:t>根据调研数据，用人单位对毕业生的认可度非常高，</w:t>
      </w:r>
      <w:r>
        <w:rPr>
          <w:rFonts w:hint="eastAsia" w:ascii="宋体"/>
          <w:sz w:val="24"/>
          <w:szCs w:val="24"/>
        </w:rPr>
        <w:t>“</w:t>
      </w:r>
      <w:r>
        <w:rPr>
          <w:rFonts w:hint="eastAsia" w:ascii="宋体" w:hAnsi="宋体"/>
          <w:sz w:val="24"/>
          <w:szCs w:val="24"/>
        </w:rPr>
        <w:t>非常认可</w:t>
      </w:r>
      <w:r>
        <w:rPr>
          <w:rFonts w:hint="eastAsia" w:ascii="宋体"/>
          <w:sz w:val="24"/>
          <w:szCs w:val="24"/>
        </w:rPr>
        <w:t>”</w:t>
      </w:r>
      <w:r>
        <w:rPr>
          <w:rFonts w:hint="eastAsia" w:ascii="宋体" w:hAnsi="宋体"/>
          <w:sz w:val="24"/>
          <w:szCs w:val="24"/>
        </w:rPr>
        <w:t>、</w:t>
      </w:r>
      <w:r>
        <w:rPr>
          <w:rFonts w:hint="eastAsia" w:ascii="宋体"/>
          <w:sz w:val="24"/>
          <w:szCs w:val="24"/>
        </w:rPr>
        <w:t>“</w:t>
      </w:r>
      <w:r>
        <w:rPr>
          <w:rFonts w:hint="eastAsia" w:ascii="宋体" w:hAnsi="宋体"/>
          <w:sz w:val="24"/>
          <w:szCs w:val="24"/>
        </w:rPr>
        <w:t>认可</w:t>
      </w:r>
      <w:r>
        <w:rPr>
          <w:rFonts w:hint="eastAsia" w:ascii="宋体"/>
          <w:sz w:val="24"/>
          <w:szCs w:val="24"/>
        </w:rPr>
        <w:t>”</w:t>
      </w:r>
      <w:r>
        <w:rPr>
          <w:rFonts w:ascii="宋体" w:hAnsi="宋体"/>
          <w:sz w:val="24"/>
          <w:szCs w:val="24"/>
        </w:rPr>
        <w:t xml:space="preserve"> </w:t>
      </w:r>
      <w:r>
        <w:rPr>
          <w:rFonts w:hint="eastAsia" w:ascii="宋体" w:hAnsi="宋体"/>
          <w:sz w:val="24"/>
          <w:szCs w:val="24"/>
        </w:rPr>
        <w:t>和</w:t>
      </w:r>
      <w:r>
        <w:rPr>
          <w:rFonts w:hint="eastAsia" w:ascii="宋体"/>
          <w:sz w:val="24"/>
          <w:szCs w:val="24"/>
        </w:rPr>
        <w:t>“</w:t>
      </w:r>
      <w:r>
        <w:rPr>
          <w:rFonts w:hint="eastAsia" w:ascii="宋体" w:hAnsi="宋体"/>
          <w:sz w:val="24"/>
          <w:szCs w:val="24"/>
        </w:rPr>
        <w:t>比较认可</w:t>
      </w:r>
      <w:r>
        <w:rPr>
          <w:rFonts w:hint="eastAsia" w:ascii="宋体"/>
          <w:sz w:val="24"/>
          <w:szCs w:val="24"/>
        </w:rPr>
        <w:t>”</w:t>
      </w:r>
      <w:r>
        <w:rPr>
          <w:rFonts w:hint="eastAsia" w:ascii="宋体" w:hAnsi="宋体"/>
          <w:sz w:val="24"/>
          <w:szCs w:val="24"/>
        </w:rPr>
        <w:t>分别占比为</w:t>
      </w:r>
      <w:r>
        <w:rPr>
          <w:rFonts w:ascii="宋体" w:hAnsi="宋体"/>
          <w:sz w:val="24"/>
          <w:szCs w:val="24"/>
        </w:rPr>
        <w:t>42.2%</w:t>
      </w:r>
      <w:r>
        <w:rPr>
          <w:rFonts w:hint="eastAsia" w:ascii="宋体" w:hAnsi="宋体"/>
          <w:sz w:val="24"/>
          <w:szCs w:val="24"/>
        </w:rPr>
        <w:t>、</w:t>
      </w:r>
      <w:r>
        <w:rPr>
          <w:rFonts w:ascii="宋体" w:hAnsi="宋体"/>
          <w:sz w:val="24"/>
          <w:szCs w:val="24"/>
        </w:rPr>
        <w:t>48.6%</w:t>
      </w:r>
      <w:r>
        <w:rPr>
          <w:rFonts w:hint="eastAsia" w:ascii="宋体" w:hAnsi="宋体"/>
          <w:sz w:val="24"/>
          <w:szCs w:val="24"/>
        </w:rPr>
        <w:t>和</w:t>
      </w:r>
      <w:r>
        <w:rPr>
          <w:rFonts w:ascii="宋体" w:hAnsi="宋体"/>
          <w:sz w:val="24"/>
          <w:szCs w:val="24"/>
        </w:rPr>
        <w:t>9.2%</w:t>
      </w:r>
      <w:r>
        <w:rPr>
          <w:rFonts w:hint="eastAsia" w:ascii="宋体" w:hAnsi="宋体"/>
          <w:sz w:val="24"/>
          <w:szCs w:val="24"/>
        </w:rPr>
        <w:t>，详见图3</w:t>
      </w:r>
      <w:r>
        <w:rPr>
          <w:rFonts w:ascii="宋体" w:hAnsi="宋体"/>
          <w:sz w:val="24"/>
          <w:szCs w:val="24"/>
        </w:rPr>
        <w:t>-9</w:t>
      </w:r>
      <w:r>
        <w:rPr>
          <w:rFonts w:hint="eastAsia" w:ascii="宋体" w:hAnsi="宋体"/>
          <w:sz w:val="24"/>
          <w:szCs w:val="24"/>
        </w:rPr>
        <w:t>。</w:t>
      </w:r>
    </w:p>
    <w:tbl>
      <w:tblPr>
        <w:tblStyle w:val="20"/>
        <w:tblW w:w="8145"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1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79" w:hRule="atLeast"/>
          <w:jc w:val="center"/>
        </w:trPr>
        <w:tc>
          <w:tcPr>
            <w:tcW w:w="8145" w:type="dxa"/>
          </w:tcPr>
          <w:p>
            <w:pPr>
              <w:spacing w:line="60" w:lineRule="exact"/>
              <w:rPr>
                <w:rFonts w:ascii="宋体" w:hAnsi="宋体"/>
                <w:sz w:val="24"/>
                <w:szCs w:val="24"/>
              </w:rPr>
            </w:pPr>
            <w:r>
              <w:rPr>
                <w:rFonts w:hint="eastAsia" w:ascii="宋体" w:hAnsi="Times New Roman"/>
                <w:sz w:val="24"/>
                <w:szCs w:val="24"/>
              </w:rPr>
              <w:drawing>
                <wp:anchor distT="0" distB="0" distL="114300" distR="114300" simplePos="0" relativeHeight="251709440" behindDoc="0" locked="0" layoutInCell="1" allowOverlap="1">
                  <wp:simplePos x="0" y="0"/>
                  <wp:positionH relativeFrom="column">
                    <wp:posOffset>61595</wp:posOffset>
                  </wp:positionH>
                  <wp:positionV relativeFrom="paragraph">
                    <wp:posOffset>69215</wp:posOffset>
                  </wp:positionV>
                  <wp:extent cx="4937760" cy="3013075"/>
                  <wp:effectExtent l="0" t="0" r="0" b="0"/>
                  <wp:wrapSquare wrapText="bothSides"/>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48" w:hRule="exact"/>
          <w:jc w:val="center"/>
        </w:trPr>
        <w:tc>
          <w:tcPr>
            <w:tcW w:w="8145" w:type="dxa"/>
            <w:vAlign w:val="center"/>
          </w:tcPr>
          <w:p>
            <w:pPr>
              <w:ind w:firstLine="420"/>
              <w:jc w:val="center"/>
              <w:rPr>
                <w:rFonts w:ascii="宋体" w:hAnsi="宋体"/>
                <w:sz w:val="24"/>
                <w:szCs w:val="24"/>
              </w:rPr>
            </w:pPr>
            <w:r>
              <w:rPr>
                <w:rFonts w:hint="eastAsia" w:asciiTheme="minorEastAsia" w:hAnsiTheme="minorEastAsia" w:eastAsiaTheme="minorEastAsia"/>
                <w:b/>
              </w:rPr>
              <w:t>图</w:t>
            </w:r>
            <w:r>
              <w:rPr>
                <w:rFonts w:asciiTheme="minorEastAsia" w:hAnsiTheme="minorEastAsia" w:eastAsiaTheme="minorEastAsia"/>
                <w:b/>
              </w:rPr>
              <w:t xml:space="preserve">3-9  </w:t>
            </w:r>
            <w:r>
              <w:rPr>
                <w:rFonts w:hint="eastAsia" w:asciiTheme="minorEastAsia" w:hAnsiTheme="minorEastAsia" w:eastAsiaTheme="minorEastAsia"/>
                <w:b/>
              </w:rPr>
              <w:t>用人单</w:t>
            </w:r>
            <w:r>
              <w:rPr>
                <w:rFonts w:hint="eastAsia" w:ascii="Times New Roman" w:hAnsi="Times New Roman"/>
                <w:b/>
              </w:rPr>
              <w:t>位对2018届毕业生的认可度</w:t>
            </w:r>
          </w:p>
        </w:tc>
      </w:tr>
      <w:bookmarkEnd w:id="41"/>
    </w:tbl>
    <w:p>
      <w:pPr>
        <w:pStyle w:val="2"/>
        <w:rPr>
          <w:rFonts w:ascii="宋体" w:hAnsi="宋体" w:eastAsia="宋体"/>
          <w:b/>
          <w:szCs w:val="32"/>
        </w:rPr>
      </w:pPr>
      <w:bookmarkStart w:id="72" w:name="_Toc533861951"/>
      <w:r>
        <w:rPr>
          <w:rFonts w:hint="eastAsia" w:ascii="宋体" w:hAnsi="宋体" w:eastAsia="宋体"/>
          <w:b/>
          <w:szCs w:val="32"/>
        </w:rPr>
        <w:t>第四篇</w:t>
      </w:r>
      <w:r>
        <w:rPr>
          <w:rFonts w:ascii="宋体" w:hAnsi="宋体" w:eastAsia="宋体"/>
          <w:b/>
          <w:szCs w:val="32"/>
        </w:rPr>
        <w:t xml:space="preserve"> </w:t>
      </w:r>
      <w:r>
        <w:rPr>
          <w:rFonts w:hint="eastAsia" w:ascii="宋体" w:hAnsi="宋体" w:eastAsia="宋体"/>
          <w:b/>
          <w:szCs w:val="32"/>
        </w:rPr>
        <w:t>毕业生就业对学院教育教学的反馈</w:t>
      </w:r>
      <w:bookmarkEnd w:id="72"/>
    </w:p>
    <w:p>
      <w:pPr>
        <w:spacing w:line="500" w:lineRule="exact"/>
        <w:ind w:firstLine="480" w:firstLineChars="200"/>
        <w:rPr>
          <w:rFonts w:ascii="宋体"/>
          <w:sz w:val="24"/>
          <w:szCs w:val="24"/>
        </w:rPr>
      </w:pPr>
      <w:r>
        <w:rPr>
          <w:rFonts w:hint="eastAsia" w:ascii="宋体" w:hAnsi="宋体"/>
          <w:sz w:val="24"/>
          <w:szCs w:val="24"/>
        </w:rPr>
        <w:t>毕业生就业质量是对学校教育教学质量的真实反馈。通过对</w:t>
      </w:r>
      <w:r>
        <w:rPr>
          <w:rFonts w:ascii="宋体" w:hAnsi="宋体"/>
          <w:sz w:val="24"/>
          <w:szCs w:val="24"/>
        </w:rPr>
        <w:t>2018</w:t>
      </w:r>
      <w:r>
        <w:rPr>
          <w:rFonts w:hint="eastAsia" w:ascii="宋体" w:hAnsi="宋体"/>
          <w:sz w:val="24"/>
          <w:szCs w:val="24"/>
        </w:rPr>
        <w:t>届毕业生就业质量问卷调研，从调研数据分析来看，反映教育教学与就业质量的主要反馈指标有三个，即毕业生就业质量整体满意度，毕业生对学校满意度和用人单位对毕业生和学校的满意度。掌握就业质量和用人单位满意度现状，可以帮助学院进一步了解用人单位和毕业生的需求，进而搭建好毕业生与企业之间的桥梁，创新教育教学理念和人才培养模式，坚持与时俱进，不断提升教育教学质量和就业质量。通过数据调研分析，现将具体反馈如下。</w:t>
      </w:r>
    </w:p>
    <w:p>
      <w:pPr>
        <w:pStyle w:val="3"/>
        <w:spacing w:before="0" w:after="0" w:line="500" w:lineRule="exact"/>
        <w:ind w:firstLine="562" w:firstLineChars="200"/>
        <w:rPr>
          <w:rFonts w:ascii="宋体" w:hAnsi="宋体"/>
          <w:sz w:val="28"/>
          <w:szCs w:val="28"/>
        </w:rPr>
      </w:pPr>
      <w:bookmarkStart w:id="73" w:name="_Toc533861952"/>
      <w:r>
        <w:rPr>
          <w:rFonts w:hint="eastAsia" w:ascii="宋体" w:hAnsi="宋体"/>
          <w:sz w:val="28"/>
          <w:szCs w:val="28"/>
        </w:rPr>
        <w:t>一、毕业生就业质量整体满意度的反馈</w:t>
      </w:r>
      <w:bookmarkEnd w:id="73"/>
    </w:p>
    <w:p>
      <w:pPr>
        <w:spacing w:line="500" w:lineRule="exact"/>
        <w:ind w:firstLine="480" w:firstLineChars="200"/>
        <w:rPr>
          <w:rFonts w:ascii="宋体"/>
          <w:sz w:val="24"/>
          <w:szCs w:val="24"/>
        </w:rPr>
      </w:pPr>
      <w:r>
        <w:rPr>
          <w:rFonts w:hint="eastAsia" w:ascii="宋体" w:hAnsi="宋体"/>
          <w:sz w:val="24"/>
          <w:szCs w:val="24"/>
        </w:rPr>
        <w:t>根据调研数据，已落实就业单位的毕业生对目前就业状况的满意度为</w:t>
      </w:r>
      <w:r>
        <w:rPr>
          <w:rFonts w:ascii="宋体" w:hAnsi="宋体"/>
          <w:sz w:val="24"/>
          <w:szCs w:val="24"/>
        </w:rPr>
        <w:t>93.91%</w:t>
      </w:r>
      <w:r>
        <w:rPr>
          <w:rFonts w:hint="eastAsia" w:ascii="宋体" w:hAnsi="宋体"/>
          <w:sz w:val="24"/>
          <w:szCs w:val="24"/>
        </w:rPr>
        <w:t>，其中</w:t>
      </w:r>
      <w:r>
        <w:rPr>
          <w:rFonts w:hint="eastAsia" w:ascii="宋体"/>
          <w:sz w:val="24"/>
          <w:szCs w:val="24"/>
        </w:rPr>
        <w:t>“</w:t>
      </w:r>
      <w:r>
        <w:rPr>
          <w:rFonts w:hint="eastAsia" w:ascii="宋体" w:hAnsi="宋体"/>
          <w:sz w:val="24"/>
          <w:szCs w:val="24"/>
        </w:rPr>
        <w:t>非常满意</w:t>
      </w:r>
      <w:r>
        <w:rPr>
          <w:rFonts w:hint="eastAsia" w:ascii="宋体"/>
          <w:sz w:val="24"/>
          <w:szCs w:val="24"/>
        </w:rPr>
        <w:t>”</w:t>
      </w:r>
      <w:r>
        <w:rPr>
          <w:rFonts w:ascii="宋体" w:hAnsi="宋体"/>
          <w:sz w:val="24"/>
          <w:szCs w:val="24"/>
        </w:rPr>
        <w:t>43.54%</w:t>
      </w:r>
      <w:r>
        <w:rPr>
          <w:rFonts w:hint="eastAsia" w:ascii="宋体" w:hAnsi="宋体"/>
          <w:sz w:val="24"/>
          <w:szCs w:val="24"/>
        </w:rPr>
        <w:t>，</w:t>
      </w:r>
      <w:r>
        <w:rPr>
          <w:rFonts w:hint="eastAsia" w:ascii="宋体"/>
          <w:sz w:val="24"/>
          <w:szCs w:val="24"/>
        </w:rPr>
        <w:t>“</w:t>
      </w:r>
      <w:r>
        <w:rPr>
          <w:rFonts w:hint="eastAsia" w:ascii="宋体" w:hAnsi="宋体"/>
          <w:sz w:val="24"/>
          <w:szCs w:val="24"/>
        </w:rPr>
        <w:t>满意</w:t>
      </w:r>
      <w:r>
        <w:rPr>
          <w:rFonts w:hint="eastAsia" w:ascii="宋体"/>
          <w:sz w:val="24"/>
          <w:szCs w:val="24"/>
        </w:rPr>
        <w:t>”</w:t>
      </w:r>
      <w:r>
        <w:rPr>
          <w:rFonts w:ascii="宋体" w:hAnsi="宋体"/>
          <w:sz w:val="24"/>
          <w:szCs w:val="24"/>
        </w:rPr>
        <w:t>37.13%</w:t>
      </w:r>
      <w:r>
        <w:rPr>
          <w:rFonts w:hint="eastAsia" w:ascii="宋体" w:hAnsi="宋体"/>
          <w:sz w:val="24"/>
          <w:szCs w:val="24"/>
        </w:rPr>
        <w:t>，</w:t>
      </w:r>
      <w:r>
        <w:rPr>
          <w:rFonts w:hint="eastAsia" w:ascii="宋体"/>
          <w:sz w:val="24"/>
          <w:szCs w:val="24"/>
        </w:rPr>
        <w:t>“</w:t>
      </w:r>
      <w:r>
        <w:rPr>
          <w:rFonts w:hint="eastAsia" w:ascii="宋体" w:hAnsi="宋体"/>
          <w:sz w:val="24"/>
          <w:szCs w:val="24"/>
        </w:rPr>
        <w:t>比较满意</w:t>
      </w:r>
      <w:r>
        <w:rPr>
          <w:rFonts w:hint="eastAsia" w:ascii="宋体"/>
          <w:sz w:val="24"/>
          <w:szCs w:val="24"/>
        </w:rPr>
        <w:t>”</w:t>
      </w:r>
      <w:r>
        <w:rPr>
          <w:rFonts w:ascii="宋体" w:hAnsi="宋体"/>
          <w:sz w:val="24"/>
          <w:szCs w:val="24"/>
        </w:rPr>
        <w:t>13.24%</w:t>
      </w:r>
      <w:r>
        <w:rPr>
          <w:rFonts w:hint="eastAsia" w:ascii="宋体" w:hAnsi="宋体"/>
          <w:sz w:val="24"/>
          <w:szCs w:val="24"/>
        </w:rPr>
        <w:t>。这表明</w:t>
      </w:r>
      <w:r>
        <w:rPr>
          <w:rFonts w:ascii="宋体" w:hAnsi="宋体"/>
          <w:sz w:val="24"/>
          <w:szCs w:val="24"/>
        </w:rPr>
        <w:t>2018</w:t>
      </w:r>
      <w:r>
        <w:rPr>
          <w:rFonts w:hint="eastAsia" w:ascii="宋体" w:hAnsi="宋体"/>
          <w:sz w:val="24"/>
          <w:szCs w:val="24"/>
        </w:rPr>
        <w:t>届毕业生就业质量满意度整体较高。从毕业生就业质量各项指标的满意度得分来看，工作与理想职业一致性、薪资福利和社会保障满意度不高。工作与理想职业一致性评价不高的</w:t>
      </w:r>
      <w:r>
        <w:rPr>
          <w:rFonts w:ascii="宋体" w:hAnsi="宋体"/>
          <w:sz w:val="24"/>
          <w:szCs w:val="24"/>
        </w:rPr>
        <w:t>原因</w:t>
      </w:r>
      <w:r>
        <w:rPr>
          <w:rFonts w:hint="eastAsia" w:ascii="宋体" w:hAnsi="宋体"/>
          <w:sz w:val="24"/>
          <w:szCs w:val="24"/>
        </w:rPr>
        <w:t>是学生就业期望</w:t>
      </w:r>
      <w:r>
        <w:rPr>
          <w:rFonts w:ascii="宋体" w:hAnsi="宋体"/>
          <w:sz w:val="24"/>
          <w:szCs w:val="24"/>
        </w:rPr>
        <w:t>值</w:t>
      </w:r>
      <w:r>
        <w:rPr>
          <w:rFonts w:hint="eastAsia" w:ascii="宋体" w:hAnsi="宋体"/>
          <w:sz w:val="24"/>
          <w:szCs w:val="24"/>
        </w:rPr>
        <w:t>较</w:t>
      </w:r>
      <w:r>
        <w:rPr>
          <w:rFonts w:ascii="宋体" w:hAnsi="宋体"/>
          <w:sz w:val="24"/>
          <w:szCs w:val="24"/>
        </w:rPr>
        <w:t>高，而</w:t>
      </w:r>
      <w:r>
        <w:rPr>
          <w:rFonts w:hint="eastAsia" w:ascii="宋体" w:hAnsi="宋体"/>
          <w:sz w:val="24"/>
          <w:szCs w:val="24"/>
        </w:rPr>
        <w:t>初入职场的人员，由于工作经验比较欠缺，多会安排在基层岗位锻炼，短时间内未达到毕业生就业期望。此现象随着学生工作经验积累和工作能力提高，资历提升后将会好转。毕业</w:t>
      </w:r>
      <w:r>
        <w:rPr>
          <w:rFonts w:ascii="宋体" w:hAnsi="宋体"/>
          <w:sz w:val="24"/>
          <w:szCs w:val="24"/>
        </w:rPr>
        <w:t>生</w:t>
      </w:r>
      <w:r>
        <w:rPr>
          <w:rFonts w:hint="eastAsia" w:ascii="宋体" w:hAnsi="宋体"/>
          <w:sz w:val="24"/>
          <w:szCs w:val="24"/>
        </w:rPr>
        <w:t>对薪资福利和社会保障满意度不高是当前毕业生就业中普遍存在的问题，主要是因为部分中小企业福利保障制度不够健全造成，需要学院在引进招聘单位的时候，要适当提高企业准入门槛，对</w:t>
      </w:r>
      <w:r>
        <w:rPr>
          <w:rFonts w:ascii="宋体" w:hAnsi="宋体"/>
          <w:sz w:val="24"/>
          <w:szCs w:val="24"/>
        </w:rPr>
        <w:t>企业进行</w:t>
      </w:r>
      <w:r>
        <w:rPr>
          <w:rFonts w:hint="eastAsia" w:ascii="宋体" w:hAnsi="宋体"/>
          <w:sz w:val="24"/>
          <w:szCs w:val="24"/>
        </w:rPr>
        <w:t>的用人机制和福利保障进行深入考察后</w:t>
      </w:r>
      <w:r>
        <w:rPr>
          <w:rFonts w:ascii="宋体" w:hAnsi="宋体"/>
          <w:sz w:val="24"/>
          <w:szCs w:val="24"/>
        </w:rPr>
        <w:t>遴选，引入</w:t>
      </w:r>
      <w:r>
        <w:rPr>
          <w:rFonts w:hint="eastAsia" w:ascii="宋体" w:hAnsi="宋体"/>
          <w:sz w:val="24"/>
          <w:szCs w:val="24"/>
        </w:rPr>
        <w:t>专业对口、</w:t>
      </w:r>
      <w:r>
        <w:rPr>
          <w:rFonts w:ascii="宋体" w:hAnsi="宋体"/>
          <w:sz w:val="24"/>
          <w:szCs w:val="24"/>
        </w:rPr>
        <w:t>规模较大、</w:t>
      </w:r>
      <w:r>
        <w:rPr>
          <w:rFonts w:hint="eastAsia" w:ascii="宋体" w:hAnsi="宋体"/>
          <w:sz w:val="24"/>
          <w:szCs w:val="24"/>
        </w:rPr>
        <w:t>效益</w:t>
      </w:r>
      <w:r>
        <w:rPr>
          <w:rFonts w:ascii="宋体" w:hAnsi="宋体"/>
          <w:sz w:val="24"/>
          <w:szCs w:val="24"/>
        </w:rPr>
        <w:t>较好</w:t>
      </w:r>
      <w:r>
        <w:rPr>
          <w:rFonts w:hint="eastAsia" w:ascii="宋体" w:hAnsi="宋体"/>
          <w:sz w:val="24"/>
          <w:szCs w:val="24"/>
        </w:rPr>
        <w:t>和社会</w:t>
      </w:r>
      <w:r>
        <w:rPr>
          <w:rFonts w:ascii="宋体" w:hAnsi="宋体"/>
          <w:sz w:val="24"/>
          <w:szCs w:val="24"/>
        </w:rPr>
        <w:t>保障健全</w:t>
      </w:r>
      <w:r>
        <w:rPr>
          <w:rFonts w:hint="eastAsia" w:ascii="宋体" w:hAnsi="宋体"/>
          <w:sz w:val="24"/>
          <w:szCs w:val="24"/>
        </w:rPr>
        <w:t>的</w:t>
      </w:r>
      <w:r>
        <w:rPr>
          <w:rFonts w:ascii="宋体" w:hAnsi="宋体"/>
          <w:sz w:val="24"/>
          <w:szCs w:val="24"/>
        </w:rPr>
        <w:t>企业</w:t>
      </w:r>
      <w:r>
        <w:rPr>
          <w:rFonts w:hint="eastAsia" w:ascii="宋体" w:hAnsi="宋体"/>
          <w:sz w:val="24"/>
          <w:szCs w:val="24"/>
        </w:rPr>
        <w:t>供</w:t>
      </w:r>
      <w:r>
        <w:rPr>
          <w:rFonts w:ascii="宋体" w:hAnsi="宋体"/>
          <w:sz w:val="24"/>
          <w:szCs w:val="24"/>
        </w:rPr>
        <w:t>毕业生选择</w:t>
      </w:r>
      <w:r>
        <w:rPr>
          <w:rFonts w:hint="eastAsia" w:ascii="宋体" w:hAnsi="宋体"/>
          <w:sz w:val="24"/>
          <w:szCs w:val="24"/>
        </w:rPr>
        <w:t>。同时，还</w:t>
      </w:r>
      <w:r>
        <w:rPr>
          <w:rFonts w:ascii="宋体" w:hAnsi="宋体"/>
          <w:sz w:val="24"/>
          <w:szCs w:val="24"/>
        </w:rPr>
        <w:t>要</w:t>
      </w:r>
      <w:r>
        <w:rPr>
          <w:rFonts w:hint="eastAsia" w:ascii="宋体" w:hAnsi="宋体"/>
          <w:sz w:val="24"/>
          <w:szCs w:val="24"/>
        </w:rPr>
        <w:t>积极推进实施合作育人的人才培养模式，全面实施</w:t>
      </w:r>
      <w:r>
        <w:rPr>
          <w:rFonts w:hint="eastAsia" w:ascii="宋体"/>
          <w:sz w:val="24"/>
          <w:szCs w:val="24"/>
        </w:rPr>
        <w:t>“</w:t>
      </w:r>
      <w:r>
        <w:rPr>
          <w:rFonts w:ascii="宋体" w:hAnsi="宋体"/>
          <w:sz w:val="24"/>
          <w:szCs w:val="24"/>
        </w:rPr>
        <w:t>1+1</w:t>
      </w:r>
      <w:r>
        <w:rPr>
          <w:rFonts w:hint="eastAsia" w:ascii="宋体" w:hAnsi="宋体"/>
          <w:sz w:val="24"/>
          <w:szCs w:val="24"/>
        </w:rPr>
        <w:t>”校企合作共建工程，每个专业至少与</w:t>
      </w:r>
      <w:r>
        <w:rPr>
          <w:rFonts w:ascii="宋体" w:hAnsi="宋体"/>
          <w:sz w:val="24"/>
          <w:szCs w:val="24"/>
        </w:rPr>
        <w:t>1</w:t>
      </w:r>
      <w:r>
        <w:rPr>
          <w:rFonts w:hint="eastAsia" w:ascii="宋体" w:hAnsi="宋体"/>
          <w:sz w:val="24"/>
          <w:szCs w:val="24"/>
        </w:rPr>
        <w:t>个企业或行业单位建立联合人才培养关系，校企合作共建专业、共建课程、共建实训基地，实现“招生与招工同步、教学与生产同步、实习与就业联体”，学生“零距离”就业，不</w:t>
      </w:r>
      <w:r>
        <w:rPr>
          <w:rFonts w:ascii="宋体" w:hAnsi="宋体"/>
          <w:sz w:val="24"/>
          <w:szCs w:val="24"/>
        </w:rPr>
        <w:t>断提高毕业生就业稳定性和满意度。</w:t>
      </w:r>
    </w:p>
    <w:p>
      <w:pPr>
        <w:pStyle w:val="3"/>
        <w:spacing w:before="0" w:after="0" w:line="500" w:lineRule="exact"/>
        <w:ind w:firstLine="562" w:firstLineChars="200"/>
        <w:rPr>
          <w:rFonts w:ascii="宋体" w:hAnsi="宋体"/>
          <w:sz w:val="28"/>
          <w:szCs w:val="28"/>
        </w:rPr>
      </w:pPr>
      <w:bookmarkStart w:id="74" w:name="_Toc533861953"/>
      <w:r>
        <w:rPr>
          <w:rFonts w:hint="eastAsia" w:ascii="宋体" w:hAnsi="宋体"/>
          <w:sz w:val="28"/>
          <w:szCs w:val="28"/>
        </w:rPr>
        <w:t>二、毕业生对学校满意度的反馈</w:t>
      </w:r>
      <w:bookmarkEnd w:id="74"/>
      <w:r>
        <w:rPr>
          <w:rFonts w:ascii="宋体" w:hAnsi="宋体"/>
          <w:sz w:val="28"/>
          <w:szCs w:val="28"/>
        </w:rPr>
        <w:t xml:space="preserve"> </w:t>
      </w:r>
    </w:p>
    <w:p>
      <w:pPr>
        <w:spacing w:line="500" w:lineRule="exact"/>
        <w:ind w:firstLine="480" w:firstLineChars="200"/>
        <w:rPr>
          <w:rFonts w:ascii="宋体"/>
          <w:sz w:val="24"/>
          <w:szCs w:val="24"/>
        </w:rPr>
      </w:pPr>
      <w:r>
        <w:rPr>
          <w:rFonts w:hint="eastAsia" w:ascii="宋体" w:hAnsi="宋体"/>
          <w:sz w:val="24"/>
          <w:szCs w:val="24"/>
        </w:rPr>
        <w:t>调研</w:t>
      </w:r>
      <w:r>
        <w:rPr>
          <w:rFonts w:ascii="宋体" w:hAnsi="宋体"/>
          <w:sz w:val="24"/>
          <w:szCs w:val="24"/>
        </w:rPr>
        <w:t>2018</w:t>
      </w:r>
      <w:r>
        <w:rPr>
          <w:rFonts w:hint="eastAsia" w:ascii="宋体" w:hAnsi="宋体"/>
          <w:sz w:val="24"/>
          <w:szCs w:val="24"/>
        </w:rPr>
        <w:t>届毕业生对学校人才培养的满意度，选择非常满意、满意和比较满意的占比之和达到</w:t>
      </w:r>
      <w:r>
        <w:rPr>
          <w:rFonts w:ascii="宋体" w:hAnsi="宋体"/>
          <w:sz w:val="24"/>
          <w:szCs w:val="24"/>
        </w:rPr>
        <w:t>93.91%</w:t>
      </w:r>
      <w:r>
        <w:rPr>
          <w:rFonts w:hint="eastAsia" w:ascii="宋体" w:hAnsi="宋体"/>
          <w:sz w:val="24"/>
          <w:szCs w:val="24"/>
        </w:rPr>
        <w:t>，说明绝大多数毕业生对学校的人才培养工作持满意态度。这也是对学校教育教学工作和就业工作的认可。从</w:t>
      </w:r>
      <w:r>
        <w:rPr>
          <w:rFonts w:ascii="宋体" w:hAnsi="宋体"/>
          <w:sz w:val="24"/>
          <w:szCs w:val="24"/>
        </w:rPr>
        <w:t>2018</w:t>
      </w:r>
      <w:r>
        <w:rPr>
          <w:rFonts w:hint="eastAsia" w:ascii="宋体" w:hAnsi="宋体"/>
          <w:sz w:val="24"/>
          <w:szCs w:val="24"/>
        </w:rPr>
        <w:t>届毕业生的调研结果中可以看出，参加调研的毕业生对教育教学的反馈中，希望重视程度较高的有实践教学和就业指导与服务，这也从侧面反映出学生的需求。学生在学校学习过程中，在学好专业理论知识的学习的同时，更加注重实践教学和就业指导服务。学生需要对职业前景和行业工作性质有一定的了解，以免在求职选择中由于对职业了解较少遇到难题，而难以选择到比较满意的工作岗位。因此，学院在以后的就业指导工作中，应增设与职业生涯</w:t>
      </w:r>
      <w:r>
        <w:rPr>
          <w:rFonts w:ascii="宋体" w:hAnsi="宋体"/>
          <w:sz w:val="24"/>
          <w:szCs w:val="24"/>
        </w:rPr>
        <w:t>规划</w:t>
      </w:r>
      <w:r>
        <w:rPr>
          <w:rFonts w:hint="eastAsia" w:ascii="宋体" w:hAnsi="宋体"/>
          <w:sz w:val="24"/>
          <w:szCs w:val="24"/>
        </w:rPr>
        <w:t>相关的课程，为学生提供更多参观学习的机会，聘请企业代表来院与学生进行面对面的交流，解答学生对职业方面的疑问，使得毕业生在求职前对行业有比较清晰的认识。在教学工作方面，学院要</w:t>
      </w:r>
      <w:r>
        <w:rPr>
          <w:rFonts w:ascii="宋体" w:hAnsi="宋体"/>
          <w:sz w:val="24"/>
          <w:szCs w:val="24"/>
        </w:rPr>
        <w:t>重视人才培养方案</w:t>
      </w:r>
      <w:r>
        <w:rPr>
          <w:rFonts w:hint="eastAsia" w:ascii="宋体" w:hAnsi="宋体"/>
          <w:sz w:val="24"/>
          <w:szCs w:val="24"/>
        </w:rPr>
        <w:t>的</w:t>
      </w:r>
      <w:r>
        <w:rPr>
          <w:rFonts w:ascii="宋体" w:hAnsi="宋体"/>
          <w:sz w:val="24"/>
          <w:szCs w:val="24"/>
        </w:rPr>
        <w:t>修订，</w:t>
      </w:r>
      <w:r>
        <w:rPr>
          <w:rFonts w:hint="eastAsia" w:ascii="宋体" w:hAnsi="宋体"/>
          <w:sz w:val="24"/>
          <w:szCs w:val="24"/>
        </w:rPr>
        <w:t>课程体系的优化，加强</w:t>
      </w:r>
      <w:r>
        <w:rPr>
          <w:rFonts w:ascii="宋体" w:hAnsi="宋体"/>
          <w:sz w:val="24"/>
          <w:szCs w:val="24"/>
        </w:rPr>
        <w:t>实践教学环节</w:t>
      </w:r>
      <w:r>
        <w:rPr>
          <w:rFonts w:hint="eastAsia" w:ascii="宋体" w:hAnsi="宋体"/>
          <w:sz w:val="24"/>
          <w:szCs w:val="24"/>
        </w:rPr>
        <w:t>；</w:t>
      </w:r>
      <w:r>
        <w:rPr>
          <w:rFonts w:ascii="宋体" w:hAnsi="宋体"/>
          <w:sz w:val="24"/>
          <w:szCs w:val="24"/>
        </w:rPr>
        <w:t>改革人才培养模式，</w:t>
      </w:r>
      <w:r>
        <w:rPr>
          <w:rFonts w:hint="eastAsia" w:ascii="宋体" w:hAnsi="宋体"/>
          <w:sz w:val="24"/>
          <w:szCs w:val="24"/>
        </w:rPr>
        <w:t>加强</w:t>
      </w:r>
      <w:r>
        <w:rPr>
          <w:rFonts w:ascii="宋体" w:hAnsi="宋体"/>
          <w:sz w:val="24"/>
          <w:szCs w:val="24"/>
        </w:rPr>
        <w:t>校企合作</w:t>
      </w:r>
      <w:r>
        <w:rPr>
          <w:rFonts w:hint="eastAsia" w:ascii="宋体" w:hAnsi="宋体"/>
          <w:sz w:val="24"/>
          <w:szCs w:val="24"/>
        </w:rPr>
        <w:t>；积极推进以提高学生实践能力为导向的教学模式，可采取任务驱动式、示范教学、</w:t>
      </w:r>
      <w:r>
        <w:rPr>
          <w:rFonts w:ascii="宋体" w:hAnsi="宋体"/>
          <w:sz w:val="24"/>
          <w:szCs w:val="24"/>
        </w:rPr>
        <w:t>模拟</w:t>
      </w:r>
      <w:r>
        <w:rPr>
          <w:rFonts w:hint="eastAsia" w:ascii="宋体" w:hAnsi="宋体"/>
          <w:sz w:val="24"/>
          <w:szCs w:val="24"/>
        </w:rPr>
        <w:t>教学等教学方法。学院要积极</w:t>
      </w:r>
      <w:r>
        <w:rPr>
          <w:rFonts w:ascii="宋体" w:hAnsi="宋体"/>
          <w:sz w:val="24"/>
          <w:szCs w:val="24"/>
        </w:rPr>
        <w:t>开拓就业市场，</w:t>
      </w:r>
      <w:r>
        <w:rPr>
          <w:rFonts w:hint="eastAsia" w:ascii="宋体" w:hAnsi="宋体"/>
          <w:sz w:val="24"/>
          <w:szCs w:val="24"/>
        </w:rPr>
        <w:t>对</w:t>
      </w:r>
      <w:r>
        <w:rPr>
          <w:rFonts w:ascii="宋体" w:hAnsi="宋体"/>
          <w:sz w:val="24"/>
          <w:szCs w:val="24"/>
        </w:rPr>
        <w:t>企业</w:t>
      </w:r>
      <w:r>
        <w:rPr>
          <w:rFonts w:hint="eastAsia" w:ascii="宋体" w:hAnsi="宋体"/>
          <w:sz w:val="24"/>
          <w:szCs w:val="24"/>
        </w:rPr>
        <w:t>的</w:t>
      </w:r>
      <w:r>
        <w:rPr>
          <w:rFonts w:ascii="宋体" w:hAnsi="宋体"/>
          <w:sz w:val="24"/>
          <w:szCs w:val="24"/>
        </w:rPr>
        <w:t>生产、</w:t>
      </w:r>
      <w:r>
        <w:rPr>
          <w:rFonts w:hint="eastAsia" w:ascii="宋体" w:hAnsi="宋体"/>
          <w:sz w:val="24"/>
          <w:szCs w:val="24"/>
        </w:rPr>
        <w:t>薪资</w:t>
      </w:r>
      <w:r>
        <w:rPr>
          <w:rFonts w:ascii="宋体" w:hAnsi="宋体"/>
          <w:sz w:val="24"/>
          <w:szCs w:val="24"/>
        </w:rPr>
        <w:t>和劳动保障机制进行</w:t>
      </w:r>
      <w:r>
        <w:rPr>
          <w:rFonts w:hint="eastAsia" w:ascii="宋体" w:hAnsi="宋体"/>
          <w:sz w:val="24"/>
          <w:szCs w:val="24"/>
        </w:rPr>
        <w:t>全面</w:t>
      </w:r>
      <w:r>
        <w:rPr>
          <w:rFonts w:ascii="宋体" w:hAnsi="宋体"/>
          <w:sz w:val="24"/>
          <w:szCs w:val="24"/>
        </w:rPr>
        <w:t>考察</w:t>
      </w:r>
      <w:r>
        <w:rPr>
          <w:rFonts w:hint="eastAsia" w:ascii="宋体" w:hAnsi="宋体"/>
          <w:sz w:val="24"/>
          <w:szCs w:val="24"/>
        </w:rPr>
        <w:t>，对</w:t>
      </w:r>
      <w:r>
        <w:rPr>
          <w:rFonts w:ascii="宋体" w:hAnsi="宋体"/>
          <w:sz w:val="24"/>
          <w:szCs w:val="24"/>
        </w:rPr>
        <w:t>参加招聘企业的资质进行严格审查</w:t>
      </w:r>
      <w:r>
        <w:rPr>
          <w:rFonts w:hint="eastAsia" w:ascii="宋体" w:hAnsi="宋体"/>
          <w:sz w:val="24"/>
          <w:szCs w:val="24"/>
        </w:rPr>
        <w:t>，</w:t>
      </w:r>
      <w:r>
        <w:rPr>
          <w:rFonts w:ascii="宋体" w:hAnsi="宋体"/>
          <w:sz w:val="24"/>
          <w:szCs w:val="24"/>
        </w:rPr>
        <w:t>提高毕业生就业质量和就业满意度</w:t>
      </w:r>
      <w:r>
        <w:rPr>
          <w:rFonts w:hint="eastAsia" w:ascii="宋体" w:hAnsi="宋体"/>
          <w:sz w:val="24"/>
          <w:szCs w:val="24"/>
        </w:rPr>
        <w:t>。</w:t>
      </w:r>
    </w:p>
    <w:p>
      <w:pPr>
        <w:pStyle w:val="3"/>
        <w:spacing w:before="0" w:after="0" w:line="500" w:lineRule="exact"/>
        <w:ind w:firstLine="562" w:firstLineChars="200"/>
        <w:rPr>
          <w:rFonts w:ascii="宋体" w:hAnsi="宋体"/>
          <w:sz w:val="28"/>
          <w:szCs w:val="28"/>
        </w:rPr>
      </w:pPr>
      <w:bookmarkStart w:id="75" w:name="_Toc533861954"/>
      <w:r>
        <w:rPr>
          <w:rFonts w:hint="eastAsia" w:ascii="宋体" w:hAnsi="宋体"/>
          <w:sz w:val="28"/>
          <w:szCs w:val="28"/>
        </w:rPr>
        <w:t>三、用人单位对毕业生和学校满意度的反馈</w:t>
      </w:r>
      <w:bookmarkEnd w:id="75"/>
      <w:r>
        <w:rPr>
          <w:rFonts w:ascii="宋体" w:hAnsi="宋体"/>
          <w:sz w:val="28"/>
          <w:szCs w:val="28"/>
        </w:rPr>
        <w:t xml:space="preserve">  </w:t>
      </w:r>
    </w:p>
    <w:p>
      <w:pPr>
        <w:spacing w:line="500" w:lineRule="exact"/>
        <w:ind w:firstLine="480" w:firstLineChars="200"/>
        <w:rPr>
          <w:rFonts w:ascii="宋体"/>
          <w:sz w:val="24"/>
          <w:szCs w:val="24"/>
        </w:rPr>
      </w:pPr>
      <w:r>
        <w:rPr>
          <w:rFonts w:hint="eastAsia" w:ascii="宋体" w:hAnsi="宋体"/>
          <w:sz w:val="24"/>
          <w:szCs w:val="24"/>
        </w:rPr>
        <w:t>根据调研数据，</w:t>
      </w:r>
      <w:r>
        <w:rPr>
          <w:rFonts w:ascii="宋体" w:hAnsi="宋体"/>
          <w:sz w:val="24"/>
          <w:szCs w:val="24"/>
        </w:rPr>
        <w:t>60.87%</w:t>
      </w:r>
      <w:r>
        <w:rPr>
          <w:rFonts w:hint="eastAsia" w:ascii="宋体" w:hAnsi="宋体"/>
          <w:sz w:val="24"/>
          <w:szCs w:val="24"/>
        </w:rPr>
        <w:t>参与调研的用人单位招聘毕业生主要渠道是校园招聘，这说明校园招聘是毕业生获得就业机会的主要途径，毕业生应争取在校园招聘中找到理想的工作。调研显示，用人单位招聘毕业生时对专业的总体关注度</w:t>
      </w:r>
      <w:r>
        <w:rPr>
          <w:rFonts w:ascii="宋体" w:hAnsi="宋体"/>
          <w:sz w:val="24"/>
          <w:szCs w:val="24"/>
        </w:rPr>
        <w:t>91.31%</w:t>
      </w:r>
      <w:r>
        <w:rPr>
          <w:rFonts w:hint="eastAsia" w:ascii="宋体" w:hAnsi="宋体"/>
          <w:sz w:val="24"/>
          <w:szCs w:val="24"/>
        </w:rPr>
        <w:t>，这表明毕业生在初次求职中应尽量选择与自己所学专业相关的工作岗位。在对用人单位的调研中发现，用人单位普遍对毕业生的综合素质和创新能力的重视程度较高，对毕业生的执行力、适应能力、语言表达能力和灵活应变能力等指标的满意度评分均在</w:t>
      </w:r>
      <w:r>
        <w:rPr>
          <w:rFonts w:ascii="宋体" w:hAnsi="宋体"/>
          <w:sz w:val="24"/>
          <w:szCs w:val="24"/>
        </w:rPr>
        <w:t>4.3</w:t>
      </w:r>
      <w:r>
        <w:rPr>
          <w:rFonts w:hint="eastAsia" w:ascii="宋体" w:hAnsi="宋体"/>
          <w:sz w:val="24"/>
          <w:szCs w:val="24"/>
        </w:rPr>
        <w:t>分（满分</w:t>
      </w:r>
      <w:r>
        <w:rPr>
          <w:rFonts w:ascii="宋体" w:hAnsi="宋体"/>
          <w:sz w:val="24"/>
          <w:szCs w:val="24"/>
        </w:rPr>
        <w:t>5</w:t>
      </w:r>
      <w:r>
        <w:rPr>
          <w:rFonts w:hint="eastAsia" w:ascii="宋体" w:hAnsi="宋体"/>
          <w:sz w:val="24"/>
          <w:szCs w:val="24"/>
        </w:rPr>
        <w:t>分）以上，相对而言，创新能力的评价略低于其他指标满意度。这需要学校在加强学生综合素质和能力培养的同时，要进一步提升毕业生的创新能力。学院要增加创新创业课程，采用探究式、合作式、研究式、发现法等教学方法，有效提升毕业生的创新创业能力。要更新教学理念，改革教学管理模式，全面提升创新创业教育质量。用人单位对学校就业指导与服务工作进行评价表明，学校在校园招聘活动的个性化服务、就业网站建设和信息服务方面的工作的满意度评价较低，得分均在</w:t>
      </w:r>
      <w:r>
        <w:rPr>
          <w:rFonts w:ascii="宋体" w:hAnsi="宋体"/>
          <w:sz w:val="24"/>
          <w:szCs w:val="24"/>
        </w:rPr>
        <w:t>4</w:t>
      </w:r>
      <w:r>
        <w:rPr>
          <w:rFonts w:hint="eastAsia" w:ascii="宋体" w:hAnsi="宋体"/>
          <w:sz w:val="24"/>
          <w:szCs w:val="24"/>
        </w:rPr>
        <w:t>以下，需要学院进一步加强就业</w:t>
      </w:r>
      <w:r>
        <w:rPr>
          <w:rFonts w:ascii="宋体" w:hAnsi="宋体"/>
          <w:sz w:val="24"/>
          <w:szCs w:val="24"/>
        </w:rPr>
        <w:t>网站建设</w:t>
      </w:r>
      <w:r>
        <w:rPr>
          <w:rFonts w:hint="eastAsia" w:ascii="宋体" w:hAnsi="宋体"/>
          <w:sz w:val="24"/>
          <w:szCs w:val="24"/>
        </w:rPr>
        <w:t>，及时为毕业生提供就业信息，</w:t>
      </w:r>
      <w:r>
        <w:rPr>
          <w:rFonts w:ascii="宋体" w:hAnsi="宋体"/>
          <w:sz w:val="24"/>
          <w:szCs w:val="24"/>
        </w:rPr>
        <w:t>加强对校园招聘活动的组织管理，</w:t>
      </w:r>
      <w:r>
        <w:rPr>
          <w:rFonts w:hint="eastAsia" w:ascii="宋体" w:hAnsi="宋体"/>
          <w:sz w:val="24"/>
          <w:szCs w:val="24"/>
        </w:rPr>
        <w:t>提高</w:t>
      </w:r>
      <w:r>
        <w:rPr>
          <w:rFonts w:ascii="宋体" w:hAnsi="宋体"/>
          <w:sz w:val="24"/>
          <w:szCs w:val="24"/>
        </w:rPr>
        <w:t>就业指导</w:t>
      </w:r>
      <w:r>
        <w:rPr>
          <w:rFonts w:hint="eastAsia" w:ascii="宋体" w:hAnsi="宋体"/>
          <w:sz w:val="24"/>
          <w:szCs w:val="24"/>
        </w:rPr>
        <w:t>与个</w:t>
      </w:r>
      <w:r>
        <w:rPr>
          <w:rFonts w:ascii="宋体" w:hAnsi="宋体"/>
          <w:sz w:val="24"/>
          <w:szCs w:val="24"/>
        </w:rPr>
        <w:t>性化服务水平</w:t>
      </w:r>
      <w:r>
        <w:rPr>
          <w:rFonts w:hint="eastAsia" w:ascii="宋体" w:hAnsi="宋体"/>
          <w:sz w:val="24"/>
          <w:szCs w:val="24"/>
        </w:rPr>
        <w:t>。</w:t>
      </w:r>
    </w:p>
    <w:sectPr>
      <w:pgSz w:w="11906" w:h="16838"/>
      <w:pgMar w:top="1418" w:right="1418" w:bottom="1474" w:left="1418"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fldChar w:fldCharType="begin"/>
    </w:r>
    <w:r>
      <w:instrText xml:space="preserve">PAGE   \* MERGEFORMAT</w:instrText>
    </w:r>
    <w:r>
      <w:fldChar w:fldCharType="separate"/>
    </w:r>
    <w:r>
      <w:rPr>
        <w:lang w:val="zh-CN"/>
      </w:rPr>
      <w:t>I</w:t>
    </w:r>
    <w:r>
      <w:rPr>
        <w:lang w:val="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fldChar w:fldCharType="begin"/>
    </w:r>
    <w:r>
      <w:instrText xml:space="preserve">PAGE   \* MERGEFORMAT</w:instrText>
    </w:r>
    <w:r>
      <w:fldChar w:fldCharType="separate"/>
    </w:r>
    <w:r>
      <w:rPr>
        <w:lang w:val="zh-CN"/>
      </w:rPr>
      <w:t>1</w:t>
    </w:r>
    <w:r>
      <w:rPr>
        <w:lang w:val="zh-CN"/>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sz w:val="24"/>
        <w:szCs w:val="24"/>
      </w:rPr>
    </w:pPr>
    <w:r>
      <w:rPr>
        <w:rFonts w:hint="eastAsia"/>
        <w:sz w:val="24"/>
        <w:szCs w:val="24"/>
      </w:rPr>
      <w:t>甘肃畜牧工程职业技术学院2018年</w:t>
    </w:r>
    <w:r>
      <w:rPr>
        <w:sz w:val="24"/>
        <w:szCs w:val="24"/>
      </w:rPr>
      <w:t>毕业生就业质量</w:t>
    </w:r>
    <w:r>
      <w:rPr>
        <w:rFonts w:hint="eastAsia"/>
        <w:sz w:val="24"/>
        <w:szCs w:val="24"/>
      </w:rPr>
      <w:t>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dit="readOnly" w:enforcement="1"/>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6341"/>
    <w:rsid w:val="00004037"/>
    <w:rsid w:val="00004BE8"/>
    <w:rsid w:val="00006D13"/>
    <w:rsid w:val="00012BDE"/>
    <w:rsid w:val="000178D3"/>
    <w:rsid w:val="00021148"/>
    <w:rsid w:val="00022445"/>
    <w:rsid w:val="00023F22"/>
    <w:rsid w:val="00024320"/>
    <w:rsid w:val="00025BFC"/>
    <w:rsid w:val="0003003B"/>
    <w:rsid w:val="0003232D"/>
    <w:rsid w:val="000473D4"/>
    <w:rsid w:val="000505AD"/>
    <w:rsid w:val="00050982"/>
    <w:rsid w:val="00051207"/>
    <w:rsid w:val="00052504"/>
    <w:rsid w:val="00070E7B"/>
    <w:rsid w:val="0007408E"/>
    <w:rsid w:val="000757D5"/>
    <w:rsid w:val="000809CB"/>
    <w:rsid w:val="00085617"/>
    <w:rsid w:val="00086241"/>
    <w:rsid w:val="0008691C"/>
    <w:rsid w:val="0009315C"/>
    <w:rsid w:val="0009514F"/>
    <w:rsid w:val="00096341"/>
    <w:rsid w:val="000A16AA"/>
    <w:rsid w:val="000A20E8"/>
    <w:rsid w:val="000B0C47"/>
    <w:rsid w:val="000B157E"/>
    <w:rsid w:val="000B1F09"/>
    <w:rsid w:val="000B748E"/>
    <w:rsid w:val="000C18F2"/>
    <w:rsid w:val="000C4C0E"/>
    <w:rsid w:val="000C4F36"/>
    <w:rsid w:val="000C51C4"/>
    <w:rsid w:val="000D0C62"/>
    <w:rsid w:val="000D16C9"/>
    <w:rsid w:val="000D3FB0"/>
    <w:rsid w:val="000D56A8"/>
    <w:rsid w:val="000D661B"/>
    <w:rsid w:val="000E0154"/>
    <w:rsid w:val="000E20B2"/>
    <w:rsid w:val="000E20DD"/>
    <w:rsid w:val="000E701D"/>
    <w:rsid w:val="000F2111"/>
    <w:rsid w:val="00100731"/>
    <w:rsid w:val="0010121B"/>
    <w:rsid w:val="001149B1"/>
    <w:rsid w:val="00115A57"/>
    <w:rsid w:val="00136E24"/>
    <w:rsid w:val="0013722E"/>
    <w:rsid w:val="00143C98"/>
    <w:rsid w:val="001504F4"/>
    <w:rsid w:val="00153A25"/>
    <w:rsid w:val="00156F96"/>
    <w:rsid w:val="0016474F"/>
    <w:rsid w:val="0017015E"/>
    <w:rsid w:val="001705E9"/>
    <w:rsid w:val="001723AF"/>
    <w:rsid w:val="00173471"/>
    <w:rsid w:val="00173479"/>
    <w:rsid w:val="0017639C"/>
    <w:rsid w:val="001846AF"/>
    <w:rsid w:val="00185242"/>
    <w:rsid w:val="00196A47"/>
    <w:rsid w:val="001A1BEF"/>
    <w:rsid w:val="001A399D"/>
    <w:rsid w:val="001A43BE"/>
    <w:rsid w:val="001B0830"/>
    <w:rsid w:val="001B5AD5"/>
    <w:rsid w:val="001C1085"/>
    <w:rsid w:val="001C5407"/>
    <w:rsid w:val="001D5600"/>
    <w:rsid w:val="001D6E37"/>
    <w:rsid w:val="001E39E0"/>
    <w:rsid w:val="001E7050"/>
    <w:rsid w:val="001E7BE6"/>
    <w:rsid w:val="001F1670"/>
    <w:rsid w:val="001F2D9A"/>
    <w:rsid w:val="0020082A"/>
    <w:rsid w:val="00206973"/>
    <w:rsid w:val="00213DC9"/>
    <w:rsid w:val="002257E9"/>
    <w:rsid w:val="00225ED0"/>
    <w:rsid w:val="0022688B"/>
    <w:rsid w:val="00231524"/>
    <w:rsid w:val="00232FE7"/>
    <w:rsid w:val="00235FBE"/>
    <w:rsid w:val="00242A7F"/>
    <w:rsid w:val="00247BE7"/>
    <w:rsid w:val="0025060A"/>
    <w:rsid w:val="00250848"/>
    <w:rsid w:val="00254514"/>
    <w:rsid w:val="00256A7E"/>
    <w:rsid w:val="00264671"/>
    <w:rsid w:val="00280C36"/>
    <w:rsid w:val="002879F6"/>
    <w:rsid w:val="002913AA"/>
    <w:rsid w:val="00293AB1"/>
    <w:rsid w:val="002950AE"/>
    <w:rsid w:val="002A67DC"/>
    <w:rsid w:val="002D1D4D"/>
    <w:rsid w:val="002D7AAC"/>
    <w:rsid w:val="002E0CDD"/>
    <w:rsid w:val="002E64CD"/>
    <w:rsid w:val="002F6CE0"/>
    <w:rsid w:val="002F75C3"/>
    <w:rsid w:val="0030130D"/>
    <w:rsid w:val="003149DE"/>
    <w:rsid w:val="00314A18"/>
    <w:rsid w:val="0031592A"/>
    <w:rsid w:val="003214C0"/>
    <w:rsid w:val="00322A88"/>
    <w:rsid w:val="00326120"/>
    <w:rsid w:val="00344E53"/>
    <w:rsid w:val="00346765"/>
    <w:rsid w:val="00351086"/>
    <w:rsid w:val="00351A58"/>
    <w:rsid w:val="0036298F"/>
    <w:rsid w:val="00366BDC"/>
    <w:rsid w:val="00392AF5"/>
    <w:rsid w:val="003967EF"/>
    <w:rsid w:val="003B7A6D"/>
    <w:rsid w:val="003C37EC"/>
    <w:rsid w:val="00402606"/>
    <w:rsid w:val="0040381B"/>
    <w:rsid w:val="00403BBE"/>
    <w:rsid w:val="0041158E"/>
    <w:rsid w:val="00414D58"/>
    <w:rsid w:val="00422CB2"/>
    <w:rsid w:val="00430316"/>
    <w:rsid w:val="00437220"/>
    <w:rsid w:val="00437A65"/>
    <w:rsid w:val="004409AC"/>
    <w:rsid w:val="00441209"/>
    <w:rsid w:val="004577E4"/>
    <w:rsid w:val="00464B7E"/>
    <w:rsid w:val="0046717A"/>
    <w:rsid w:val="0047065B"/>
    <w:rsid w:val="00471A3F"/>
    <w:rsid w:val="004730DC"/>
    <w:rsid w:val="00473BE4"/>
    <w:rsid w:val="0047456E"/>
    <w:rsid w:val="00481D49"/>
    <w:rsid w:val="004835DC"/>
    <w:rsid w:val="00486348"/>
    <w:rsid w:val="00486A90"/>
    <w:rsid w:val="00495AC0"/>
    <w:rsid w:val="00495AFE"/>
    <w:rsid w:val="00496290"/>
    <w:rsid w:val="004A035E"/>
    <w:rsid w:val="004A5861"/>
    <w:rsid w:val="004E34A6"/>
    <w:rsid w:val="004F20C8"/>
    <w:rsid w:val="004F4FF5"/>
    <w:rsid w:val="004F706F"/>
    <w:rsid w:val="005030FA"/>
    <w:rsid w:val="005051E2"/>
    <w:rsid w:val="00514C94"/>
    <w:rsid w:val="0052483B"/>
    <w:rsid w:val="0052563E"/>
    <w:rsid w:val="00527004"/>
    <w:rsid w:val="005279A5"/>
    <w:rsid w:val="005310B7"/>
    <w:rsid w:val="005335AB"/>
    <w:rsid w:val="00540ECA"/>
    <w:rsid w:val="005434B5"/>
    <w:rsid w:val="00547137"/>
    <w:rsid w:val="00551215"/>
    <w:rsid w:val="00552C0D"/>
    <w:rsid w:val="0056132C"/>
    <w:rsid w:val="00562B6D"/>
    <w:rsid w:val="0056375A"/>
    <w:rsid w:val="0057703C"/>
    <w:rsid w:val="00586321"/>
    <w:rsid w:val="005871F1"/>
    <w:rsid w:val="005879D6"/>
    <w:rsid w:val="005B5EF0"/>
    <w:rsid w:val="005C069D"/>
    <w:rsid w:val="005C25DF"/>
    <w:rsid w:val="005C379C"/>
    <w:rsid w:val="005D128F"/>
    <w:rsid w:val="005D32E4"/>
    <w:rsid w:val="005F381F"/>
    <w:rsid w:val="0060218E"/>
    <w:rsid w:val="00605DF7"/>
    <w:rsid w:val="006132C3"/>
    <w:rsid w:val="00623421"/>
    <w:rsid w:val="00624679"/>
    <w:rsid w:val="006417C5"/>
    <w:rsid w:val="006417F1"/>
    <w:rsid w:val="0064244F"/>
    <w:rsid w:val="00643415"/>
    <w:rsid w:val="006476AE"/>
    <w:rsid w:val="00650579"/>
    <w:rsid w:val="00651EC7"/>
    <w:rsid w:val="00652702"/>
    <w:rsid w:val="00654B73"/>
    <w:rsid w:val="00657A01"/>
    <w:rsid w:val="00661123"/>
    <w:rsid w:val="00664967"/>
    <w:rsid w:val="0067151F"/>
    <w:rsid w:val="00675ECC"/>
    <w:rsid w:val="006774A1"/>
    <w:rsid w:val="00682A5D"/>
    <w:rsid w:val="006847FA"/>
    <w:rsid w:val="006B064E"/>
    <w:rsid w:val="006B0F42"/>
    <w:rsid w:val="006C5ACF"/>
    <w:rsid w:val="006C608A"/>
    <w:rsid w:val="006D7E3B"/>
    <w:rsid w:val="006E2406"/>
    <w:rsid w:val="006E67F4"/>
    <w:rsid w:val="006F2374"/>
    <w:rsid w:val="006F2708"/>
    <w:rsid w:val="00707F95"/>
    <w:rsid w:val="00720D42"/>
    <w:rsid w:val="00722722"/>
    <w:rsid w:val="00723A81"/>
    <w:rsid w:val="00742E8E"/>
    <w:rsid w:val="00743DF4"/>
    <w:rsid w:val="00750154"/>
    <w:rsid w:val="0075054E"/>
    <w:rsid w:val="00750847"/>
    <w:rsid w:val="00751AF6"/>
    <w:rsid w:val="00756C42"/>
    <w:rsid w:val="00757106"/>
    <w:rsid w:val="00770399"/>
    <w:rsid w:val="00770480"/>
    <w:rsid w:val="00771C40"/>
    <w:rsid w:val="007840E1"/>
    <w:rsid w:val="007910FD"/>
    <w:rsid w:val="00795574"/>
    <w:rsid w:val="007B155E"/>
    <w:rsid w:val="007B4A18"/>
    <w:rsid w:val="007B5296"/>
    <w:rsid w:val="007B607F"/>
    <w:rsid w:val="007B749F"/>
    <w:rsid w:val="007C2AE0"/>
    <w:rsid w:val="007C4EB2"/>
    <w:rsid w:val="007D75C1"/>
    <w:rsid w:val="007E3CB6"/>
    <w:rsid w:val="007E6E6D"/>
    <w:rsid w:val="007F5016"/>
    <w:rsid w:val="0080108E"/>
    <w:rsid w:val="00801F92"/>
    <w:rsid w:val="008039EF"/>
    <w:rsid w:val="008118F9"/>
    <w:rsid w:val="00822A53"/>
    <w:rsid w:val="00824C29"/>
    <w:rsid w:val="00825F7D"/>
    <w:rsid w:val="00826F22"/>
    <w:rsid w:val="00832812"/>
    <w:rsid w:val="0084632D"/>
    <w:rsid w:val="0085055A"/>
    <w:rsid w:val="00850F8E"/>
    <w:rsid w:val="00851CF3"/>
    <w:rsid w:val="00851F44"/>
    <w:rsid w:val="00853176"/>
    <w:rsid w:val="00863691"/>
    <w:rsid w:val="00877424"/>
    <w:rsid w:val="00895571"/>
    <w:rsid w:val="00895A65"/>
    <w:rsid w:val="00897CDF"/>
    <w:rsid w:val="008A4625"/>
    <w:rsid w:val="008A78F4"/>
    <w:rsid w:val="008B2680"/>
    <w:rsid w:val="008B37C5"/>
    <w:rsid w:val="008B4977"/>
    <w:rsid w:val="008B507F"/>
    <w:rsid w:val="008B78BB"/>
    <w:rsid w:val="008C699F"/>
    <w:rsid w:val="008D0D2A"/>
    <w:rsid w:val="008D1488"/>
    <w:rsid w:val="008D3CE9"/>
    <w:rsid w:val="008E7F46"/>
    <w:rsid w:val="008F4461"/>
    <w:rsid w:val="00902899"/>
    <w:rsid w:val="00910C33"/>
    <w:rsid w:val="00911180"/>
    <w:rsid w:val="00914CDB"/>
    <w:rsid w:val="00922E27"/>
    <w:rsid w:val="009244DE"/>
    <w:rsid w:val="009248E8"/>
    <w:rsid w:val="0092755A"/>
    <w:rsid w:val="00930A56"/>
    <w:rsid w:val="00944FD0"/>
    <w:rsid w:val="00945F5B"/>
    <w:rsid w:val="009503A5"/>
    <w:rsid w:val="009545D9"/>
    <w:rsid w:val="0096349F"/>
    <w:rsid w:val="0097535E"/>
    <w:rsid w:val="00981EBB"/>
    <w:rsid w:val="00984C28"/>
    <w:rsid w:val="00986B6F"/>
    <w:rsid w:val="0099754F"/>
    <w:rsid w:val="009A0D7C"/>
    <w:rsid w:val="009A19AA"/>
    <w:rsid w:val="009A3496"/>
    <w:rsid w:val="009B601C"/>
    <w:rsid w:val="009C084A"/>
    <w:rsid w:val="009D0265"/>
    <w:rsid w:val="009D1AB2"/>
    <w:rsid w:val="009D25A2"/>
    <w:rsid w:val="009E3EE0"/>
    <w:rsid w:val="009E4C64"/>
    <w:rsid w:val="009E50AB"/>
    <w:rsid w:val="009E538B"/>
    <w:rsid w:val="009E64EF"/>
    <w:rsid w:val="009F2672"/>
    <w:rsid w:val="009F7DF6"/>
    <w:rsid w:val="00A01835"/>
    <w:rsid w:val="00A156AB"/>
    <w:rsid w:val="00A215C6"/>
    <w:rsid w:val="00A23CB6"/>
    <w:rsid w:val="00A267E8"/>
    <w:rsid w:val="00A42C14"/>
    <w:rsid w:val="00A437BC"/>
    <w:rsid w:val="00A461B0"/>
    <w:rsid w:val="00A52779"/>
    <w:rsid w:val="00A530F2"/>
    <w:rsid w:val="00A542FD"/>
    <w:rsid w:val="00A61164"/>
    <w:rsid w:val="00A66B0F"/>
    <w:rsid w:val="00A7302D"/>
    <w:rsid w:val="00A85A77"/>
    <w:rsid w:val="00A90170"/>
    <w:rsid w:val="00A91ABE"/>
    <w:rsid w:val="00A9438D"/>
    <w:rsid w:val="00AA42A4"/>
    <w:rsid w:val="00AA68E6"/>
    <w:rsid w:val="00AB42D2"/>
    <w:rsid w:val="00AB531E"/>
    <w:rsid w:val="00AB545C"/>
    <w:rsid w:val="00AD31CD"/>
    <w:rsid w:val="00AF0BCB"/>
    <w:rsid w:val="00AF6D1A"/>
    <w:rsid w:val="00B03373"/>
    <w:rsid w:val="00B072D0"/>
    <w:rsid w:val="00B14587"/>
    <w:rsid w:val="00B147BE"/>
    <w:rsid w:val="00B16DC3"/>
    <w:rsid w:val="00B31404"/>
    <w:rsid w:val="00B34F5D"/>
    <w:rsid w:val="00B35825"/>
    <w:rsid w:val="00B508FA"/>
    <w:rsid w:val="00B56014"/>
    <w:rsid w:val="00B772B0"/>
    <w:rsid w:val="00B81CE4"/>
    <w:rsid w:val="00B86240"/>
    <w:rsid w:val="00B95393"/>
    <w:rsid w:val="00BA1D41"/>
    <w:rsid w:val="00BA31BC"/>
    <w:rsid w:val="00BA6DB0"/>
    <w:rsid w:val="00BB1151"/>
    <w:rsid w:val="00BB35D1"/>
    <w:rsid w:val="00BB6A7B"/>
    <w:rsid w:val="00BC37B2"/>
    <w:rsid w:val="00BC75BF"/>
    <w:rsid w:val="00BD1E7D"/>
    <w:rsid w:val="00BE581E"/>
    <w:rsid w:val="00BE5F5A"/>
    <w:rsid w:val="00BF1B8F"/>
    <w:rsid w:val="00BF779D"/>
    <w:rsid w:val="00C02596"/>
    <w:rsid w:val="00C13C10"/>
    <w:rsid w:val="00C15B41"/>
    <w:rsid w:val="00C17839"/>
    <w:rsid w:val="00C25629"/>
    <w:rsid w:val="00C328F1"/>
    <w:rsid w:val="00C464E5"/>
    <w:rsid w:val="00C54494"/>
    <w:rsid w:val="00C64466"/>
    <w:rsid w:val="00C70349"/>
    <w:rsid w:val="00C750F8"/>
    <w:rsid w:val="00C813CC"/>
    <w:rsid w:val="00C907C9"/>
    <w:rsid w:val="00C912EE"/>
    <w:rsid w:val="00C9273A"/>
    <w:rsid w:val="00C9666B"/>
    <w:rsid w:val="00C97262"/>
    <w:rsid w:val="00CB6E72"/>
    <w:rsid w:val="00CD47BF"/>
    <w:rsid w:val="00CD4F93"/>
    <w:rsid w:val="00CE731A"/>
    <w:rsid w:val="00CF0651"/>
    <w:rsid w:val="00CF421F"/>
    <w:rsid w:val="00D0031E"/>
    <w:rsid w:val="00D06336"/>
    <w:rsid w:val="00D124F5"/>
    <w:rsid w:val="00D15D1A"/>
    <w:rsid w:val="00D23802"/>
    <w:rsid w:val="00D348A6"/>
    <w:rsid w:val="00D4306D"/>
    <w:rsid w:val="00D5234F"/>
    <w:rsid w:val="00D6329D"/>
    <w:rsid w:val="00D67DF0"/>
    <w:rsid w:val="00D7044F"/>
    <w:rsid w:val="00D70940"/>
    <w:rsid w:val="00D71202"/>
    <w:rsid w:val="00D74CFD"/>
    <w:rsid w:val="00D75332"/>
    <w:rsid w:val="00D856CD"/>
    <w:rsid w:val="00D859DE"/>
    <w:rsid w:val="00D91504"/>
    <w:rsid w:val="00D954EE"/>
    <w:rsid w:val="00DA00A5"/>
    <w:rsid w:val="00DA27CA"/>
    <w:rsid w:val="00DB0B92"/>
    <w:rsid w:val="00DB5053"/>
    <w:rsid w:val="00DB6AFF"/>
    <w:rsid w:val="00DC49B6"/>
    <w:rsid w:val="00DD2DE9"/>
    <w:rsid w:val="00DD55A0"/>
    <w:rsid w:val="00DD7305"/>
    <w:rsid w:val="00DF0A1B"/>
    <w:rsid w:val="00DF1ABE"/>
    <w:rsid w:val="00DF3B2A"/>
    <w:rsid w:val="00DF77B2"/>
    <w:rsid w:val="00E033E8"/>
    <w:rsid w:val="00E1483D"/>
    <w:rsid w:val="00E15406"/>
    <w:rsid w:val="00E23768"/>
    <w:rsid w:val="00E33540"/>
    <w:rsid w:val="00E34437"/>
    <w:rsid w:val="00E37538"/>
    <w:rsid w:val="00E4090D"/>
    <w:rsid w:val="00E4274A"/>
    <w:rsid w:val="00E4414B"/>
    <w:rsid w:val="00E47640"/>
    <w:rsid w:val="00E529B4"/>
    <w:rsid w:val="00E551B3"/>
    <w:rsid w:val="00E71268"/>
    <w:rsid w:val="00E71AA5"/>
    <w:rsid w:val="00E71EB5"/>
    <w:rsid w:val="00E724A4"/>
    <w:rsid w:val="00E73781"/>
    <w:rsid w:val="00E77C94"/>
    <w:rsid w:val="00E806F2"/>
    <w:rsid w:val="00E847B8"/>
    <w:rsid w:val="00E93795"/>
    <w:rsid w:val="00E97B0F"/>
    <w:rsid w:val="00EA164A"/>
    <w:rsid w:val="00EA720D"/>
    <w:rsid w:val="00EA7F29"/>
    <w:rsid w:val="00EB02B5"/>
    <w:rsid w:val="00EB2204"/>
    <w:rsid w:val="00EB2816"/>
    <w:rsid w:val="00EC1B0B"/>
    <w:rsid w:val="00EC55F0"/>
    <w:rsid w:val="00ED2E70"/>
    <w:rsid w:val="00EE09C7"/>
    <w:rsid w:val="00EE45FA"/>
    <w:rsid w:val="00EE489E"/>
    <w:rsid w:val="00EE5259"/>
    <w:rsid w:val="00EE65F9"/>
    <w:rsid w:val="00EE7929"/>
    <w:rsid w:val="00EF020A"/>
    <w:rsid w:val="00EF62AD"/>
    <w:rsid w:val="00EF795A"/>
    <w:rsid w:val="00F01E3C"/>
    <w:rsid w:val="00F14131"/>
    <w:rsid w:val="00F20FA3"/>
    <w:rsid w:val="00F2191B"/>
    <w:rsid w:val="00F32A90"/>
    <w:rsid w:val="00F34955"/>
    <w:rsid w:val="00F404E3"/>
    <w:rsid w:val="00F42545"/>
    <w:rsid w:val="00F46626"/>
    <w:rsid w:val="00F66937"/>
    <w:rsid w:val="00F66ADA"/>
    <w:rsid w:val="00F741FD"/>
    <w:rsid w:val="00F8069D"/>
    <w:rsid w:val="00F8208C"/>
    <w:rsid w:val="00F87D4B"/>
    <w:rsid w:val="00F907EB"/>
    <w:rsid w:val="00FA4D94"/>
    <w:rsid w:val="00FA72AE"/>
    <w:rsid w:val="00FB148F"/>
    <w:rsid w:val="00FB2847"/>
    <w:rsid w:val="00FB40EC"/>
    <w:rsid w:val="00FB4A66"/>
    <w:rsid w:val="00FB6DFE"/>
    <w:rsid w:val="00FC5B22"/>
    <w:rsid w:val="00FD1EA1"/>
    <w:rsid w:val="00FD3063"/>
    <w:rsid w:val="00FD6C1E"/>
    <w:rsid w:val="00FD731E"/>
    <w:rsid w:val="00FE1BCD"/>
    <w:rsid w:val="00FE7536"/>
    <w:rsid w:val="00FF7ED6"/>
    <w:rsid w:val="17232A09"/>
    <w:rsid w:val="1FE44A61"/>
    <w:rsid w:val="21DB33E5"/>
    <w:rsid w:val="21FC72C3"/>
    <w:rsid w:val="3A5150EB"/>
    <w:rsid w:val="41031B00"/>
    <w:rsid w:val="7DC048C9"/>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qFormat="1"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nhideWhenUsed="0" w:uiPriority="99" w:semiHidden="0"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99"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23"/>
    <w:qFormat/>
    <w:uiPriority w:val="99"/>
    <w:pPr>
      <w:keepNext/>
      <w:keepLines/>
      <w:jc w:val="center"/>
      <w:outlineLvl w:val="0"/>
    </w:pPr>
    <w:rPr>
      <w:rFonts w:eastAsia="黑体"/>
      <w:bCs/>
      <w:kern w:val="44"/>
      <w:sz w:val="32"/>
      <w:szCs w:val="44"/>
    </w:rPr>
  </w:style>
  <w:style w:type="paragraph" w:styleId="3">
    <w:name w:val="heading 2"/>
    <w:basedOn w:val="1"/>
    <w:next w:val="1"/>
    <w:link w:val="24"/>
    <w:qFormat/>
    <w:uiPriority w:val="99"/>
    <w:pPr>
      <w:keepNext/>
      <w:keepLines/>
      <w:spacing w:before="260" w:after="260" w:line="416" w:lineRule="auto"/>
      <w:outlineLvl w:val="1"/>
    </w:pPr>
    <w:rPr>
      <w:rFonts w:ascii="Cambria" w:hAnsi="Cambria"/>
      <w:b/>
      <w:bCs/>
      <w:sz w:val="32"/>
      <w:szCs w:val="32"/>
    </w:rPr>
  </w:style>
  <w:style w:type="paragraph" w:styleId="4">
    <w:name w:val="heading 3"/>
    <w:basedOn w:val="1"/>
    <w:next w:val="1"/>
    <w:link w:val="25"/>
    <w:qFormat/>
    <w:uiPriority w:val="99"/>
    <w:pPr>
      <w:keepNext/>
      <w:keepLines/>
      <w:spacing w:before="260" w:after="260" w:line="416" w:lineRule="auto"/>
      <w:outlineLvl w:val="2"/>
    </w:pPr>
    <w:rPr>
      <w:b/>
      <w:bCs/>
      <w:sz w:val="32"/>
      <w:szCs w:val="32"/>
    </w:rPr>
  </w:style>
  <w:style w:type="character" w:default="1" w:styleId="16">
    <w:name w:val="Default Paragraph Font"/>
    <w:semiHidden/>
    <w:unhideWhenUsed/>
    <w:uiPriority w:val="1"/>
  </w:style>
  <w:style w:type="table" w:default="1" w:styleId="19">
    <w:name w:val="Normal Table"/>
    <w:semiHidden/>
    <w:unhideWhenUsed/>
    <w:uiPriority w:val="99"/>
    <w:tblPr>
      <w:tblLayout w:type="fixed"/>
      <w:tblCellMar>
        <w:top w:w="0" w:type="dxa"/>
        <w:left w:w="108" w:type="dxa"/>
        <w:bottom w:w="0" w:type="dxa"/>
        <w:right w:w="108" w:type="dxa"/>
      </w:tblCellMar>
    </w:tblPr>
  </w:style>
  <w:style w:type="paragraph" w:styleId="5">
    <w:name w:val="annotation subject"/>
    <w:basedOn w:val="6"/>
    <w:next w:val="6"/>
    <w:link w:val="34"/>
    <w:semiHidden/>
    <w:unhideWhenUsed/>
    <w:qFormat/>
    <w:uiPriority w:val="99"/>
    <w:rPr>
      <w:b/>
      <w:bCs/>
    </w:rPr>
  </w:style>
  <w:style w:type="paragraph" w:styleId="6">
    <w:name w:val="annotation text"/>
    <w:basedOn w:val="1"/>
    <w:link w:val="33"/>
    <w:semiHidden/>
    <w:unhideWhenUsed/>
    <w:qFormat/>
    <w:uiPriority w:val="99"/>
    <w:pPr>
      <w:jc w:val="left"/>
    </w:pPr>
  </w:style>
  <w:style w:type="paragraph" w:styleId="7">
    <w:name w:val="Body Text Indent"/>
    <w:basedOn w:val="1"/>
    <w:link w:val="29"/>
    <w:uiPriority w:val="99"/>
    <w:pPr>
      <w:widowControl/>
      <w:spacing w:before="100" w:beforeAutospacing="1" w:after="100" w:afterAutospacing="1"/>
      <w:jc w:val="left"/>
    </w:pPr>
    <w:rPr>
      <w:rFonts w:ascii="宋体" w:hAnsi="宋体"/>
      <w:kern w:val="0"/>
      <w:sz w:val="24"/>
      <w:szCs w:val="24"/>
    </w:rPr>
  </w:style>
  <w:style w:type="paragraph" w:styleId="8">
    <w:name w:val="toc 3"/>
    <w:basedOn w:val="1"/>
    <w:next w:val="1"/>
    <w:qFormat/>
    <w:uiPriority w:val="39"/>
    <w:pPr>
      <w:ind w:left="840" w:leftChars="400"/>
    </w:pPr>
  </w:style>
  <w:style w:type="paragraph" w:styleId="9">
    <w:name w:val="Date"/>
    <w:basedOn w:val="1"/>
    <w:next w:val="1"/>
    <w:link w:val="26"/>
    <w:semiHidden/>
    <w:qFormat/>
    <w:uiPriority w:val="99"/>
    <w:pPr>
      <w:ind w:left="100" w:leftChars="2500"/>
    </w:pPr>
  </w:style>
  <w:style w:type="paragraph" w:styleId="10">
    <w:name w:val="Balloon Text"/>
    <w:basedOn w:val="1"/>
    <w:link w:val="30"/>
    <w:semiHidden/>
    <w:uiPriority w:val="99"/>
    <w:rPr>
      <w:sz w:val="18"/>
      <w:szCs w:val="18"/>
    </w:rPr>
  </w:style>
  <w:style w:type="paragraph" w:styleId="11">
    <w:name w:val="footer"/>
    <w:basedOn w:val="1"/>
    <w:link w:val="28"/>
    <w:qFormat/>
    <w:uiPriority w:val="99"/>
    <w:pPr>
      <w:tabs>
        <w:tab w:val="center" w:pos="4153"/>
        <w:tab w:val="right" w:pos="8306"/>
      </w:tabs>
      <w:snapToGrid w:val="0"/>
      <w:jc w:val="left"/>
    </w:pPr>
    <w:rPr>
      <w:rFonts w:ascii="Times New Roman" w:hAnsi="Times New Roman"/>
      <w:sz w:val="18"/>
      <w:szCs w:val="18"/>
    </w:rPr>
  </w:style>
  <w:style w:type="paragraph" w:styleId="12">
    <w:name w:val="header"/>
    <w:basedOn w:val="1"/>
    <w:link w:val="27"/>
    <w:qFormat/>
    <w:uiPriority w:val="99"/>
    <w:pPr>
      <w:pBdr>
        <w:bottom w:val="single" w:color="auto" w:sz="6" w:space="1"/>
      </w:pBdr>
      <w:tabs>
        <w:tab w:val="center" w:pos="4153"/>
        <w:tab w:val="right" w:pos="8306"/>
      </w:tabs>
      <w:snapToGrid w:val="0"/>
      <w:jc w:val="center"/>
    </w:pPr>
    <w:rPr>
      <w:rFonts w:ascii="Times New Roman" w:hAnsi="Times New Roman"/>
      <w:sz w:val="18"/>
      <w:szCs w:val="18"/>
    </w:rPr>
  </w:style>
  <w:style w:type="paragraph" w:styleId="13">
    <w:name w:val="toc 1"/>
    <w:basedOn w:val="1"/>
    <w:next w:val="1"/>
    <w:uiPriority w:val="39"/>
    <w:pPr>
      <w:tabs>
        <w:tab w:val="right" w:leader="dot" w:pos="9060"/>
      </w:tabs>
      <w:spacing w:line="600" w:lineRule="exact"/>
    </w:pPr>
  </w:style>
  <w:style w:type="paragraph" w:styleId="14">
    <w:name w:val="toc 2"/>
    <w:basedOn w:val="1"/>
    <w:next w:val="1"/>
    <w:qFormat/>
    <w:uiPriority w:val="39"/>
    <w:pPr>
      <w:ind w:left="420" w:leftChars="200"/>
    </w:pPr>
  </w:style>
  <w:style w:type="paragraph" w:styleId="15">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character" w:styleId="17">
    <w:name w:val="Hyperlink"/>
    <w:basedOn w:val="16"/>
    <w:qFormat/>
    <w:uiPriority w:val="99"/>
    <w:rPr>
      <w:rFonts w:cs="Times New Roman"/>
      <w:color w:val="0000FF"/>
      <w:u w:val="single"/>
    </w:rPr>
  </w:style>
  <w:style w:type="character" w:styleId="18">
    <w:name w:val="annotation reference"/>
    <w:basedOn w:val="16"/>
    <w:semiHidden/>
    <w:unhideWhenUsed/>
    <w:qFormat/>
    <w:uiPriority w:val="99"/>
    <w:rPr>
      <w:sz w:val="21"/>
      <w:szCs w:val="21"/>
    </w:rPr>
  </w:style>
  <w:style w:type="table" w:styleId="20">
    <w:name w:val="Table Grid"/>
    <w:basedOn w:val="19"/>
    <w:qFormat/>
    <w:uiPriority w:val="9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styleId="21">
    <w:name w:val="Table Simple 1"/>
    <w:basedOn w:val="19"/>
    <w:uiPriority w:val="99"/>
    <w:pPr>
      <w:widowControl w:val="0"/>
      <w:jc w:val="both"/>
    </w:pPr>
    <w:rPr>
      <w:rFonts w:ascii="Times New Roman" w:hAnsi="Times New Roman"/>
    </w:rPr>
    <w:tblPr>
      <w:tblBorders>
        <w:top w:val="single" w:color="008000" w:sz="12" w:space="0"/>
        <w:bottom w:val="single" w:color="008000" w:sz="12" w:space="0"/>
      </w:tblBorders>
      <w:tblLayout w:type="fixed"/>
      <w:tblCellMar>
        <w:top w:w="0" w:type="dxa"/>
        <w:left w:w="108" w:type="dxa"/>
        <w:bottom w:w="0" w:type="dxa"/>
        <w:right w:w="108" w:type="dxa"/>
      </w:tblCellMar>
    </w:tblPr>
    <w:tblStylePr w:type="firstRow">
      <w:rPr>
        <w:rFonts w:cs="Times New Roman"/>
      </w:rPr>
      <w:tblPr>
        <w:tblLayout w:type="fixed"/>
      </w:tblPr>
      <w:tcPr>
        <w:tcBorders>
          <w:bottom w:val="single" w:color="008000" w:sz="6" w:space="0"/>
          <w:tl2br w:val="nil"/>
          <w:tr2bl w:val="nil"/>
        </w:tcBorders>
      </w:tcPr>
    </w:tblStylePr>
    <w:tblStylePr w:type="lastRow">
      <w:rPr>
        <w:rFonts w:cs="Times New Roman"/>
      </w:rPr>
      <w:tblPr>
        <w:tblLayout w:type="fixed"/>
      </w:tblPr>
      <w:tcPr>
        <w:tcBorders>
          <w:top w:val="single" w:color="008000" w:sz="6" w:space="0"/>
          <w:tl2br w:val="nil"/>
          <w:tr2bl w:val="nil"/>
        </w:tcBorders>
      </w:tcPr>
    </w:tblStylePr>
  </w:style>
  <w:style w:type="table" w:styleId="22">
    <w:name w:val="Light Shading Accent 1"/>
    <w:basedOn w:val="19"/>
    <w:uiPriority w:val="99"/>
    <w:rPr>
      <w:color w:val="365F91"/>
    </w:rPr>
    <w:tblPr>
      <w:tblBorders>
        <w:top w:val="single" w:color="4F81BD" w:sz="8" w:space="0"/>
        <w:bottom w:val="single" w:color="4F81BD" w:sz="8" w:space="0"/>
      </w:tblBorders>
      <w:tblLayout w:type="fixed"/>
      <w:tblCellMar>
        <w:top w:w="0" w:type="dxa"/>
        <w:left w:w="108" w:type="dxa"/>
        <w:bottom w:w="0" w:type="dxa"/>
        <w:right w:w="108" w:type="dxa"/>
      </w:tblCellMar>
    </w:tblPr>
    <w:tblStylePr w:type="firstRow">
      <w:pPr>
        <w:spacing w:before="0" w:after="0"/>
      </w:pPr>
      <w:rPr>
        <w:rFonts w:cs="Times New Roman"/>
        <w:b/>
        <w:bCs/>
      </w:rPr>
      <w:tblPr>
        <w:tblLayout w:type="fixed"/>
      </w:tblPr>
      <w:tcPr>
        <w:tcBorders>
          <w:top w:val="single" w:color="4F81BD" w:sz="8" w:space="0"/>
          <w:left w:val="nil"/>
          <w:bottom w:val="single" w:color="4F81BD" w:sz="8" w:space="0"/>
          <w:right w:val="nil"/>
          <w:insideH w:val="nil"/>
          <w:insideV w:val="nil"/>
        </w:tcBorders>
      </w:tcPr>
    </w:tblStylePr>
    <w:tblStylePr w:type="lastRow">
      <w:pPr>
        <w:spacing w:before="0" w:after="0"/>
      </w:pPr>
      <w:rPr>
        <w:rFonts w:cs="Times New Roman"/>
        <w:b/>
        <w:bCs/>
      </w:rPr>
      <w:tblPr>
        <w:tblLayout w:type="fixed"/>
      </w:tblPr>
      <w:tcPr>
        <w:tcBorders>
          <w:top w:val="single" w:color="4F81BD" w:sz="8" w:space="0"/>
          <w:left w:val="nil"/>
          <w:bottom w:val="single" w:color="4F81BD" w:sz="8" w:space="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blLayout w:type="fixed"/>
      </w:tblPr>
      <w:tcPr>
        <w:tcBorders>
          <w:left w:val="nil"/>
          <w:right w:val="nil"/>
          <w:insideH w:val="nil"/>
          <w:insideV w:val="nil"/>
        </w:tcBorders>
        <w:shd w:val="clear" w:color="auto" w:fill="D3DFEE"/>
      </w:tcPr>
    </w:tblStylePr>
    <w:tblStylePr w:type="band1Horz">
      <w:rPr>
        <w:rFonts w:cs="Times New Roman"/>
      </w:rPr>
      <w:tblPr>
        <w:tblLayout w:type="fixed"/>
      </w:tblPr>
      <w:tcPr>
        <w:tcBorders>
          <w:left w:val="nil"/>
          <w:right w:val="nil"/>
          <w:insideH w:val="nil"/>
          <w:insideV w:val="nil"/>
        </w:tcBorders>
        <w:shd w:val="clear" w:color="auto" w:fill="D3DFEE"/>
      </w:tcPr>
    </w:tblStylePr>
  </w:style>
  <w:style w:type="character" w:customStyle="1" w:styleId="23">
    <w:name w:val="标题 1 Char"/>
    <w:basedOn w:val="16"/>
    <w:link w:val="2"/>
    <w:locked/>
    <w:uiPriority w:val="99"/>
    <w:rPr>
      <w:rFonts w:eastAsia="黑体" w:cs="Times New Roman"/>
      <w:bCs/>
      <w:kern w:val="44"/>
      <w:sz w:val="44"/>
      <w:szCs w:val="44"/>
    </w:rPr>
  </w:style>
  <w:style w:type="character" w:customStyle="1" w:styleId="24">
    <w:name w:val="标题 2 Char"/>
    <w:basedOn w:val="16"/>
    <w:link w:val="3"/>
    <w:locked/>
    <w:uiPriority w:val="99"/>
    <w:rPr>
      <w:rFonts w:ascii="Cambria" w:hAnsi="Cambria" w:eastAsia="宋体" w:cs="Times New Roman"/>
      <w:b/>
      <w:bCs/>
      <w:sz w:val="32"/>
      <w:szCs w:val="32"/>
    </w:rPr>
  </w:style>
  <w:style w:type="character" w:customStyle="1" w:styleId="25">
    <w:name w:val="标题 3 Char"/>
    <w:basedOn w:val="16"/>
    <w:link w:val="4"/>
    <w:locked/>
    <w:uiPriority w:val="99"/>
    <w:rPr>
      <w:rFonts w:cs="Times New Roman"/>
      <w:b/>
      <w:bCs/>
      <w:sz w:val="32"/>
      <w:szCs w:val="32"/>
    </w:rPr>
  </w:style>
  <w:style w:type="character" w:customStyle="1" w:styleId="26">
    <w:name w:val="日期 Char"/>
    <w:basedOn w:val="16"/>
    <w:link w:val="9"/>
    <w:semiHidden/>
    <w:locked/>
    <w:uiPriority w:val="99"/>
    <w:rPr>
      <w:rFonts w:cs="Times New Roman"/>
    </w:rPr>
  </w:style>
  <w:style w:type="character" w:customStyle="1" w:styleId="27">
    <w:name w:val="页眉 Char"/>
    <w:basedOn w:val="16"/>
    <w:link w:val="12"/>
    <w:locked/>
    <w:uiPriority w:val="99"/>
    <w:rPr>
      <w:rFonts w:ascii="Times New Roman" w:hAnsi="Times New Roman" w:eastAsia="宋体" w:cs="Times New Roman"/>
      <w:sz w:val="18"/>
      <w:szCs w:val="18"/>
    </w:rPr>
  </w:style>
  <w:style w:type="character" w:customStyle="1" w:styleId="28">
    <w:name w:val="页脚 Char"/>
    <w:basedOn w:val="16"/>
    <w:link w:val="11"/>
    <w:locked/>
    <w:uiPriority w:val="99"/>
    <w:rPr>
      <w:rFonts w:ascii="Times New Roman" w:hAnsi="Times New Roman" w:eastAsia="宋体" w:cs="Times New Roman"/>
      <w:sz w:val="18"/>
      <w:szCs w:val="18"/>
    </w:rPr>
  </w:style>
  <w:style w:type="character" w:customStyle="1" w:styleId="29">
    <w:name w:val="正文文本缩进 Char"/>
    <w:basedOn w:val="16"/>
    <w:link w:val="7"/>
    <w:locked/>
    <w:uiPriority w:val="99"/>
    <w:rPr>
      <w:rFonts w:ascii="宋体" w:hAnsi="宋体" w:eastAsia="宋体" w:cs="Times New Roman"/>
      <w:kern w:val="0"/>
      <w:sz w:val="24"/>
      <w:szCs w:val="24"/>
    </w:rPr>
  </w:style>
  <w:style w:type="character" w:customStyle="1" w:styleId="30">
    <w:name w:val="批注框文本 Char"/>
    <w:basedOn w:val="16"/>
    <w:link w:val="10"/>
    <w:semiHidden/>
    <w:locked/>
    <w:uiPriority w:val="99"/>
    <w:rPr>
      <w:rFonts w:cs="Times New Roman"/>
      <w:sz w:val="18"/>
      <w:szCs w:val="18"/>
    </w:rPr>
  </w:style>
  <w:style w:type="paragraph" w:customStyle="1" w:styleId="31">
    <w:name w:val="TOC 标题1"/>
    <w:basedOn w:val="2"/>
    <w:next w:val="1"/>
    <w:semiHidden/>
    <w:unhideWhenUsed/>
    <w:qFormat/>
    <w:uiPriority w:val="39"/>
    <w:pPr>
      <w:widowControl/>
      <w:spacing w:before="480" w:line="276" w:lineRule="auto"/>
      <w:jc w:val="left"/>
      <w:outlineLvl w:val="9"/>
    </w:pPr>
    <w:rPr>
      <w:rFonts w:asciiTheme="majorHAnsi" w:hAnsiTheme="majorHAnsi" w:eastAsiaTheme="majorEastAsia" w:cstheme="majorBidi"/>
      <w:b/>
      <w:color w:val="376092" w:themeColor="accent1" w:themeShade="BF"/>
      <w:kern w:val="0"/>
      <w:sz w:val="28"/>
      <w:szCs w:val="28"/>
    </w:rPr>
  </w:style>
  <w:style w:type="paragraph" w:styleId="32">
    <w:name w:val="List Paragraph"/>
    <w:basedOn w:val="1"/>
    <w:qFormat/>
    <w:uiPriority w:val="34"/>
    <w:pPr>
      <w:ind w:firstLine="420" w:firstLineChars="200"/>
    </w:pPr>
  </w:style>
  <w:style w:type="character" w:customStyle="1" w:styleId="33">
    <w:name w:val="批注文字 Char"/>
    <w:basedOn w:val="16"/>
    <w:link w:val="6"/>
    <w:semiHidden/>
    <w:qFormat/>
    <w:uiPriority w:val="99"/>
    <w:rPr>
      <w:kern w:val="2"/>
      <w:sz w:val="21"/>
      <w:szCs w:val="22"/>
    </w:rPr>
  </w:style>
  <w:style w:type="character" w:customStyle="1" w:styleId="34">
    <w:name w:val="批注主题 Char"/>
    <w:basedOn w:val="33"/>
    <w:link w:val="5"/>
    <w:semiHidden/>
    <w:qFormat/>
    <w:uiPriority w:val="99"/>
    <w:rPr>
      <w:b/>
      <w:bCs/>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customXml" Target="../customXml/item1.xml"/><Relationship Id="rId30" Type="http://schemas.openxmlformats.org/officeDocument/2006/relationships/chart" Target="charts/chart18.xml"/><Relationship Id="rId3" Type="http://schemas.openxmlformats.org/officeDocument/2006/relationships/footer" Target="footer1.xml"/><Relationship Id="rId29" Type="http://schemas.openxmlformats.org/officeDocument/2006/relationships/chart" Target="charts/chart17.xml"/><Relationship Id="rId28" Type="http://schemas.openxmlformats.org/officeDocument/2006/relationships/image" Target="media/image5.png"/><Relationship Id="rId27" Type="http://schemas.openxmlformats.org/officeDocument/2006/relationships/chart" Target="charts/chart16.xml"/><Relationship Id="rId26" Type="http://schemas.openxmlformats.org/officeDocument/2006/relationships/chart" Target="charts/chart15.xml"/><Relationship Id="rId25" Type="http://schemas.openxmlformats.org/officeDocument/2006/relationships/chart" Target="charts/chart14.xml"/><Relationship Id="rId24" Type="http://schemas.openxmlformats.org/officeDocument/2006/relationships/chart" Target="charts/chart13.xml"/><Relationship Id="rId23" Type="http://schemas.openxmlformats.org/officeDocument/2006/relationships/chart" Target="charts/chart12.xml"/><Relationship Id="rId22" Type="http://schemas.openxmlformats.org/officeDocument/2006/relationships/chart" Target="charts/chart11.xml"/><Relationship Id="rId21" Type="http://schemas.openxmlformats.org/officeDocument/2006/relationships/image" Target="media/image4.GIF"/><Relationship Id="rId20" Type="http://schemas.openxmlformats.org/officeDocument/2006/relationships/chart" Target="charts/chart10.xml"/><Relationship Id="rId2" Type="http://schemas.openxmlformats.org/officeDocument/2006/relationships/settings" Target="settings.xml"/><Relationship Id="rId19" Type="http://schemas.openxmlformats.org/officeDocument/2006/relationships/chart" Target="charts/chart9.xml"/><Relationship Id="rId18" Type="http://schemas.openxmlformats.org/officeDocument/2006/relationships/chart" Target="charts/chart8.xml"/><Relationship Id="rId17" Type="http://schemas.openxmlformats.org/officeDocument/2006/relationships/chart" Target="charts/chart7.xml"/><Relationship Id="rId16" Type="http://schemas.openxmlformats.org/officeDocument/2006/relationships/chart" Target="charts/chart6.xml"/><Relationship Id="rId15" Type="http://schemas.openxmlformats.org/officeDocument/2006/relationships/chart" Target="charts/chart5.xml"/><Relationship Id="rId14" Type="http://schemas.openxmlformats.org/officeDocument/2006/relationships/chart" Target="charts/chart4.xml"/><Relationship Id="rId13" Type="http://schemas.openxmlformats.org/officeDocument/2006/relationships/chart" Target="charts/chart3.xml"/><Relationship Id="rId12" Type="http://schemas.openxmlformats.org/officeDocument/2006/relationships/image" Target="media/image3.png"/><Relationship Id="rId11" Type="http://schemas.openxmlformats.org/officeDocument/2006/relationships/chart" Target="charts/chart2.xml"/><Relationship Id="rId10" Type="http://schemas.openxmlformats.org/officeDocument/2006/relationships/chart" Target="charts/chart1.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Workbook16.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Workbook18.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Workbook14.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Workbook5.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Workbook6.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Workbook9.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Workbook13.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Workbook12.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Workbook8.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Workbook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4.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package" Target="../embeddings/Workbook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Workbook1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Workbook11.xlsx"/></Relationships>
</file>

<file path=word/charts/_rels/chart7.xml.rels><?xml version="1.0" encoding="UTF-8" standalone="yes"?>
<Relationships xmlns="http://schemas.openxmlformats.org/package/2006/relationships"><Relationship Id="rId1" Type="http://schemas.openxmlformats.org/officeDocument/2006/relationships/package" Target="../embeddings/Workbook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Workbook1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Workbook10.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800" b="1" i="0" u="none" strike="noStrike" kern="1200" baseline="0">
                <a:solidFill>
                  <a:schemeClr val="dk1">
                    <a:lumMod val="75000"/>
                    <a:lumOff val="25000"/>
                  </a:schemeClr>
                </a:solidFill>
                <a:latin typeface="+mn-lt"/>
                <a:ea typeface="+mn-ea"/>
                <a:cs typeface="+mn-cs"/>
              </a:defRPr>
            </a:pPr>
            <a:r>
              <a:rPr lang="en-US" sz="1400"/>
              <a:t>2014</a:t>
            </a:r>
            <a:r>
              <a:rPr lang="zh-CN" sz="1400"/>
              <a:t>届～</a:t>
            </a:r>
            <a:r>
              <a:rPr lang="en-US" sz="1400"/>
              <a:t>2018</a:t>
            </a:r>
            <a:r>
              <a:rPr lang="zh-CN" sz="1400"/>
              <a:t>届毕业生人数分布图</a:t>
            </a:r>
            <a:endParaRPr lang="zh-CN" sz="1400"/>
          </a:p>
        </c:rich>
      </c:tx>
      <c:layout/>
      <c:overlay val="0"/>
      <c:spPr>
        <a:noFill/>
        <a:ln>
          <a:noFill/>
        </a:ln>
        <a:effectLst/>
      </c:spPr>
    </c:title>
    <c:autoTitleDeleted val="0"/>
    <c:plotArea>
      <c:layout/>
      <c:lineChart>
        <c:grouping val="stacked"/>
        <c:varyColors val="0"/>
        <c:ser>
          <c:idx val="0"/>
          <c:order val="0"/>
          <c:tx>
            <c:strRef>
              <c:f>Sheet2!$A$2</c:f>
              <c:strCache>
                <c:ptCount val="1"/>
                <c:pt idx="0">
                  <c:v>人数</c:v>
                </c:pt>
              </c:strCache>
            </c:strRef>
          </c:tx>
          <c:spPr>
            <a:ln w="38100" cap="rnd" cmpd="sng" algn="ctr">
              <a:solidFill>
                <a:schemeClr val="tx2"/>
              </a:solidFill>
              <a:prstDash val="solid"/>
              <a:round/>
            </a:ln>
            <a:effectLst/>
          </c:spPr>
          <c:marker>
            <c:symbol val="circle"/>
            <c:size val="24"/>
            <c:spPr>
              <a:solidFill>
                <a:schemeClr val="accent1"/>
              </a:solidFill>
              <a:ln w="9525" cap="flat" cmpd="sng" algn="ctr">
                <a:noFill/>
                <a:prstDash val="solid"/>
                <a:round/>
              </a:ln>
              <a:effectLst/>
            </c:spPr>
          </c:marker>
          <c:dLbls>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lt1"/>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50000"/>
                          <a:lumOff val="50000"/>
                        </a:schemeClr>
                      </a:solidFill>
                      <a:prstDash val="solid"/>
                      <a:round/>
                    </a:ln>
                    <a:effectLst/>
                  </c:spPr>
                </c15:leaderLines>
              </c:ext>
            </c:extLst>
          </c:dLbls>
          <c:cat>
            <c:strRef>
              <c:f>Sheet2!$B$1:$F$1</c:f>
              <c:strCache>
                <c:ptCount val="5"/>
                <c:pt idx="0">
                  <c:v>2014届</c:v>
                </c:pt>
                <c:pt idx="1">
                  <c:v>2015届</c:v>
                </c:pt>
                <c:pt idx="2">
                  <c:v>2016届</c:v>
                </c:pt>
                <c:pt idx="3">
                  <c:v>2017届</c:v>
                </c:pt>
                <c:pt idx="4">
                  <c:v>2018届</c:v>
                </c:pt>
              </c:strCache>
            </c:strRef>
          </c:cat>
          <c:val>
            <c:numRef>
              <c:f>Sheet2!$B$2:$F$2</c:f>
              <c:numCache>
                <c:formatCode>General</c:formatCode>
                <c:ptCount val="5"/>
                <c:pt idx="0">
                  <c:v>2282</c:v>
                </c:pt>
                <c:pt idx="1">
                  <c:v>2962</c:v>
                </c:pt>
                <c:pt idx="2">
                  <c:v>2669</c:v>
                </c:pt>
                <c:pt idx="3">
                  <c:v>2824</c:v>
                </c:pt>
                <c:pt idx="4">
                  <c:v>2591</c:v>
                </c:pt>
              </c:numCache>
            </c:numRef>
          </c:val>
          <c:smooth val="0"/>
        </c:ser>
        <c:dLbls>
          <c:showLegendKey val="0"/>
          <c:showVal val="1"/>
          <c:showCatName val="0"/>
          <c:showSerName val="0"/>
          <c:showPercent val="0"/>
          <c:showBubbleSize val="0"/>
        </c:dLbls>
        <c:marker val="1"/>
        <c:smooth val="0"/>
        <c:axId val="403537920"/>
        <c:axId val="403541376"/>
      </c:lineChart>
      <c:catAx>
        <c:axId val="403537920"/>
        <c:scaling>
          <c:orientation val="minMax"/>
        </c:scaling>
        <c:delete val="0"/>
        <c:axPos val="b"/>
        <c:numFmt formatCode="General" sourceLinked="0"/>
        <c:majorTickMark val="none"/>
        <c:minorTickMark val="none"/>
        <c:tickLblPos val="nextTo"/>
        <c:spPr>
          <a:noFill/>
          <a:ln w="19050" cap="flat" cmpd="sng" algn="ctr">
            <a:solidFill>
              <a:schemeClr val="dk1">
                <a:lumMod val="75000"/>
                <a:lumOff val="25000"/>
              </a:schemeClr>
            </a:solidFill>
            <a:prstDash val="solid"/>
            <a:round/>
          </a:ln>
          <a:effectLst/>
        </c:spPr>
        <c:txPr>
          <a:bodyPr rot="-6000000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p>
        </c:txPr>
        <c:crossAx val="403541376"/>
        <c:crosses val="autoZero"/>
        <c:auto val="1"/>
        <c:lblAlgn val="ctr"/>
        <c:lblOffset val="100"/>
        <c:noMultiLvlLbl val="0"/>
      </c:catAx>
      <c:valAx>
        <c:axId val="40354137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olid"/>
              <a:round/>
            </a:ln>
            <a:effectLst/>
          </c:spPr>
        </c:majorGridlines>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03537920"/>
        <c:crosses val="autoZero"/>
        <c:crossBetween val="between"/>
      </c:valAx>
      <c:dTable>
        <c:showHorzBorder val="1"/>
        <c:showVertBorder val="1"/>
        <c:showOutline val="1"/>
        <c:showKeys val="1"/>
        <c:spPr>
          <a:noFill/>
          <a:ln w="9525" cap="flat" cmpd="sng" algn="ctr">
            <a:solidFill>
              <a:schemeClr val="dk1">
                <a:lumMod val="35000"/>
                <a:lumOff val="65000"/>
              </a:schemeClr>
            </a:solidFill>
            <a:prstDash val="solid"/>
            <a:round/>
          </a:ln>
          <a:effectLst/>
        </c:spPr>
        <c:txPr>
          <a:bodyPr rot="0" spcFirstLastPara="1"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dTable>
      <c:spPr>
        <a:noFill/>
        <a:ln>
          <a:noFill/>
        </a:ln>
        <a:effectLst/>
      </c:spPr>
    </c:plotArea>
    <c:plotVisOnly val="1"/>
    <c:dispBlanksAs val="zero"/>
    <c:showDLblsOverMax val="0"/>
  </c:chart>
  <c:spPr>
    <a:solidFill>
      <a:schemeClr val="accent5">
        <a:lumMod val="20000"/>
        <a:lumOff val="80000"/>
      </a:schemeClr>
    </a:solidFill>
    <a:ln w="9525" cap="flat" cmpd="sng" algn="ctr">
      <a:noFill/>
      <a:prstDash val="solid"/>
      <a:round/>
    </a:ln>
    <a:effectLst/>
  </c:spPr>
  <c:txPr>
    <a:bodyPr/>
    <a:lstStyle/>
    <a:p>
      <a:pPr>
        <a:defRPr lang="zh-CN"/>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Sheet12!$B$1</c:f>
              <c:strCache>
                <c:ptCount val="1"/>
                <c:pt idx="0">
                  <c:v>人数</c:v>
                </c:pt>
              </c:strCache>
            </c:strRef>
          </c:tx>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Lbl>
              <c:idx val="0"/>
              <c:layout>
                <c:manualLayout>
                  <c:x val="-0.190899901452839"/>
                  <c:y val="0.165419906107951"/>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1"/>
              <c:showSerName val="0"/>
              <c:showPercent val="1"/>
              <c:showBubbleSize val="0"/>
              <c:extLst>
                <c:ext xmlns:c15="http://schemas.microsoft.com/office/drawing/2012/chart" uri="{CE6537A1-D6FC-4f65-9D91-7224C49458BB}">
                  <c15:layout>
                    <c:manualLayout>
                      <c:w val="0.252344722644902"/>
                      <c:h val="0.0975665094674069"/>
                    </c:manualLayout>
                  </c15:layout>
                </c:ext>
              </c:extLst>
            </c:dLbl>
            <c:dLbl>
              <c:idx val="1"/>
              <c:layout>
                <c:manualLayout>
                  <c:x val="0.237880235229277"/>
                  <c:y val="-0.244114800811738"/>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1"/>
              <c:showSerName val="0"/>
              <c:showPercent val="1"/>
              <c:showBubbleSize val="0"/>
              <c:extLst>
                <c:ext xmlns:c15="http://schemas.microsoft.com/office/drawing/2012/chart" uri="{CE6537A1-D6FC-4f65-9D91-7224C49458BB}">
                  <c15:layout>
                    <c:manualLayout>
                      <c:w val="0.283469359524139"/>
                      <c:h val="0.112168602434065"/>
                    </c:manualLayout>
                  </c15:layout>
                </c:ext>
              </c:extLst>
            </c:dLbl>
            <c:dLbl>
              <c:idx val="2"/>
              <c:layout>
                <c:manualLayout>
                  <c:x val="0.097821438802374"/>
                  <c:y val="0.143141902832844"/>
                </c:manualLayout>
              </c:layout>
              <c:dLblPos val="bestFit"/>
              <c:showLegendKey val="0"/>
              <c:showVal val="1"/>
              <c:showCatName val="1"/>
              <c:showSerName val="0"/>
              <c:showPercent val="1"/>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1"/>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Sheet12!$A$2:$A$4</c:f>
              <c:strCache>
                <c:ptCount val="3"/>
                <c:pt idx="0">
                  <c:v>西部计划</c:v>
                </c:pt>
                <c:pt idx="1">
                  <c:v>三支一扶</c:v>
                </c:pt>
                <c:pt idx="2">
                  <c:v>村官</c:v>
                </c:pt>
              </c:strCache>
            </c:strRef>
          </c:cat>
          <c:val>
            <c:numRef>
              <c:f>Sheet12!$B$2:$B$4</c:f>
              <c:numCache>
                <c:formatCode>General</c:formatCode>
                <c:ptCount val="3"/>
                <c:pt idx="0">
                  <c:v>14</c:v>
                </c:pt>
                <c:pt idx="1">
                  <c:v>32</c:v>
                </c:pt>
                <c:pt idx="2">
                  <c:v>10</c:v>
                </c:pt>
              </c:numCache>
            </c:numRef>
          </c:val>
        </c:ser>
        <c:dLbls>
          <c:showLegendKey val="0"/>
          <c:showVal val="1"/>
          <c:showCatName val="1"/>
          <c:showSerName val="0"/>
          <c:showPercent val="0"/>
          <c:showBubbleSize val="0"/>
          <c:showLeaderLines val="1"/>
        </c:dLbls>
        <c:firstSliceAng val="15"/>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销售额</c:v>
                </c:pt>
              </c:strCache>
            </c:strRef>
          </c:tx>
          <c:explosion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layout>
                <c:manualLayout>
                  <c:x val="-0.257787028987307"/>
                  <c:y val="0.0338250659965561"/>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221903773069376"/>
                  <c:y val="-0.265914853863606"/>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148090911349015"/>
                  <c:y val="0.0999778655200138"/>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0826001639384982"/>
                  <c:y val="0.111127784306003"/>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0309912317742616"/>
                  <c:y val="0.0026416525342352"/>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lt1">
                          <a:lumMod val="85000"/>
                        </a:schemeClr>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156629163909111"/>
                      <c:h val="0.118132971588369"/>
                    </c:manualLayout>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lt1">
                        <a:lumMod val="85000"/>
                      </a:schemeClr>
                    </a:solidFill>
                    <a:latin typeface="+mn-lt"/>
                    <a:ea typeface="+mn-ea"/>
                    <a:cs typeface="+mn-cs"/>
                  </a:defRPr>
                </a:pPr>
              </a:p>
            </c:txPr>
            <c:dLblPos val="in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lt1">
                          <a:lumMod val="95000"/>
                          <a:alpha val="54000"/>
                        </a:schemeClr>
                      </a:solidFill>
                      <a:prstDash val="solid"/>
                      <a:round/>
                    </a:ln>
                    <a:effectLst/>
                  </c:spPr>
                </c15:leaderLines>
              </c:ext>
            </c:extLst>
          </c:dLbls>
          <c:cat>
            <c:strRef>
              <c:f>Sheet1!$A$2:$A$6</c:f>
              <c:strCache>
                <c:ptCount val="5"/>
                <c:pt idx="0">
                  <c:v>非常满意</c:v>
                </c:pt>
                <c:pt idx="1">
                  <c:v>满意</c:v>
                </c:pt>
                <c:pt idx="2">
                  <c:v>比较满意</c:v>
                </c:pt>
                <c:pt idx="3">
                  <c:v>不太满意</c:v>
                </c:pt>
                <c:pt idx="4">
                  <c:v>很不满意</c:v>
                </c:pt>
              </c:strCache>
            </c:strRef>
          </c:cat>
          <c:val>
            <c:numRef>
              <c:f>Sheet1!$B$2:$B$6</c:f>
              <c:numCache>
                <c:formatCode>0.00%</c:formatCode>
                <c:ptCount val="5"/>
                <c:pt idx="0">
                  <c:v>0.4354</c:v>
                </c:pt>
                <c:pt idx="1">
                  <c:v>0.3713</c:v>
                </c:pt>
                <c:pt idx="2">
                  <c:v>0.1324</c:v>
                </c:pt>
                <c:pt idx="3">
                  <c:v>0.0463</c:v>
                </c:pt>
                <c:pt idx="4">
                  <c:v>0.0146</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lt1">
                  <a:lumMod val="85000"/>
                </a:schemeClr>
              </a:solidFill>
              <a:latin typeface="+mn-lt"/>
              <a:ea typeface="+mn-ea"/>
              <a:cs typeface="+mn-cs"/>
            </a:defRPr>
          </a:pP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w="9525" cap="flat" cmpd="sng" algn="ctr">
      <a:noFill/>
      <a:prstDash val="solid"/>
      <a:round/>
    </a:ln>
    <a:effectLst/>
  </c:spPr>
  <c:txPr>
    <a:bodyPr/>
    <a:lstStyle/>
    <a:p>
      <a:pPr>
        <a:defRPr lang="zh-CN"/>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648051213965533"/>
          <c:y val="0.0348068421105157"/>
          <c:w val="0.898466998803781"/>
          <c:h val="0.77875013722144"/>
        </c:manualLayout>
      </c:layout>
      <c:barChart>
        <c:barDir val="col"/>
        <c:grouping val="stacked"/>
        <c:varyColors val="0"/>
        <c:ser>
          <c:idx val="0"/>
          <c:order val="0"/>
          <c:tx>
            <c:strRef>
              <c:f>Sheet1!$B$1</c:f>
              <c:strCache>
                <c:ptCount val="1"/>
                <c:pt idx="0">
                  <c:v>系列 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0.026711185308848"/>
                  <c:y val="-0.400135639199729"/>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267111853088481"/>
                  <c:y val="-0.373007799253984"/>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233722871452419"/>
                  <c:y val="-0.244150559511699"/>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233722871452421"/>
                  <c:y val="-0.210240759579519"/>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Sheet1!$A$2:$A$5</c:f>
              <c:strCache>
                <c:ptCount val="4"/>
                <c:pt idx="0">
                  <c:v>教师授课</c:v>
                </c:pt>
                <c:pt idx="1">
                  <c:v>专业设置</c:v>
                </c:pt>
                <c:pt idx="2">
                  <c:v>课程设置</c:v>
                </c:pt>
                <c:pt idx="3">
                  <c:v>实践教学</c:v>
                </c:pt>
              </c:strCache>
            </c:strRef>
          </c:cat>
          <c:val>
            <c:numRef>
              <c:f>Sheet1!$B$2:$B$5</c:f>
              <c:numCache>
                <c:formatCode>General</c:formatCode>
                <c:ptCount val="4"/>
                <c:pt idx="0">
                  <c:v>4</c:v>
                </c:pt>
                <c:pt idx="1">
                  <c:v>3.96</c:v>
                </c:pt>
                <c:pt idx="2">
                  <c:v>3.8</c:v>
                </c:pt>
                <c:pt idx="3">
                  <c:v>3.75</c:v>
                </c:pt>
              </c:numCache>
            </c:numRef>
          </c:val>
        </c:ser>
        <c:dLbls>
          <c:showLegendKey val="0"/>
          <c:showVal val="1"/>
          <c:showCatName val="0"/>
          <c:showSerName val="0"/>
          <c:showPercent val="0"/>
          <c:showBubbleSize val="0"/>
        </c:dLbls>
        <c:gapWidth val="100"/>
        <c:overlap val="100"/>
        <c:axId val="428664704"/>
        <c:axId val="428684032"/>
      </c:barChart>
      <c:catAx>
        <c:axId val="4286647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800" b="1" i="0" u="none" strike="noStrike" kern="1200" baseline="0">
                <a:solidFill>
                  <a:schemeClr val="tx1">
                    <a:lumMod val="65000"/>
                    <a:lumOff val="35000"/>
                  </a:schemeClr>
                </a:solidFill>
                <a:latin typeface="+mn-lt"/>
                <a:ea typeface="+mn-ea"/>
                <a:cs typeface="+mn-cs"/>
              </a:defRPr>
            </a:pPr>
          </a:p>
        </c:txPr>
        <c:crossAx val="428684032"/>
        <c:crosses val="autoZero"/>
        <c:auto val="1"/>
        <c:lblAlgn val="ctr"/>
        <c:lblOffset val="100"/>
        <c:noMultiLvlLbl val="0"/>
      </c:catAx>
      <c:valAx>
        <c:axId val="428684032"/>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crossAx val="428664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Sheet1!$B$1</c:f>
              <c:strCache>
                <c:ptCount val="1"/>
                <c:pt idx="0">
                  <c:v>系列 2</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dLbl>
              <c:idx val="0"/>
              <c:layout>
                <c:manualLayout>
                  <c:x val="0.0138888888888889"/>
                  <c:y val="-1.81876205828857e-1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38888888888888"/>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38888888888889"/>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925925925925926"/>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138888888888888"/>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115740740740741"/>
                  <c:y val="-7.27504823315428e-1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11574074074074"/>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115740740740739"/>
                  <c:y val="-0.0079365079365079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tx2"/>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Sheet1!$A$2:$A$9</c:f>
              <c:strCache>
                <c:ptCount val="8"/>
                <c:pt idx="0">
                  <c:v>实践教学</c:v>
                </c:pt>
                <c:pt idx="1">
                  <c:v>就业指导服务</c:v>
                </c:pt>
                <c:pt idx="2">
                  <c:v>教学方法和手段</c:v>
                </c:pt>
                <c:pt idx="3">
                  <c:v>校园文化建设</c:v>
                </c:pt>
                <c:pt idx="4">
                  <c:v>课程内容及建设</c:v>
                </c:pt>
                <c:pt idx="5">
                  <c:v>师资水平</c:v>
                </c:pt>
                <c:pt idx="6">
                  <c:v>专业设置</c:v>
                </c:pt>
                <c:pt idx="7">
                  <c:v>其他</c:v>
                </c:pt>
              </c:strCache>
            </c:strRef>
          </c:cat>
          <c:val>
            <c:numRef>
              <c:f>Sheet1!$B$2:$B$9</c:f>
              <c:numCache>
                <c:formatCode>0.00%</c:formatCode>
                <c:ptCount val="8"/>
                <c:pt idx="0">
                  <c:v>0.3021</c:v>
                </c:pt>
                <c:pt idx="1">
                  <c:v>0.2168</c:v>
                </c:pt>
                <c:pt idx="2">
                  <c:v>0.1442</c:v>
                </c:pt>
                <c:pt idx="3">
                  <c:v>0.0982</c:v>
                </c:pt>
                <c:pt idx="4">
                  <c:v>0.0842</c:v>
                </c:pt>
                <c:pt idx="5">
                  <c:v>0.0746</c:v>
                </c:pt>
                <c:pt idx="6">
                  <c:v>0.0521</c:v>
                </c:pt>
                <c:pt idx="7">
                  <c:v>0.0278</c:v>
                </c:pt>
              </c:numCache>
            </c:numRef>
          </c:val>
        </c:ser>
        <c:dLbls>
          <c:showLegendKey val="0"/>
          <c:showVal val="1"/>
          <c:showCatName val="0"/>
          <c:showSerName val="0"/>
          <c:showPercent val="0"/>
          <c:showBubbleSize val="0"/>
        </c:dLbls>
        <c:gapWidth val="102"/>
        <c:axId val="428723200"/>
        <c:axId val="428734336"/>
      </c:barChart>
      <c:catAx>
        <c:axId val="42872320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2"/>
                </a:solidFill>
                <a:latin typeface="+mn-lt"/>
                <a:ea typeface="+mn-ea"/>
                <a:cs typeface="+mn-cs"/>
              </a:defRPr>
            </a:pPr>
          </a:p>
        </c:txPr>
        <c:crossAx val="428734336"/>
        <c:crosses val="autoZero"/>
        <c:auto val="1"/>
        <c:lblAlgn val="ctr"/>
        <c:lblOffset val="100"/>
        <c:noMultiLvlLbl val="0"/>
      </c:catAx>
      <c:valAx>
        <c:axId val="428734336"/>
        <c:scaling>
          <c:orientation val="minMax"/>
        </c:scaling>
        <c:delete val="0"/>
        <c:axPos val="l"/>
        <c:majorGridlines>
          <c:spPr>
            <a:ln w="9525" cap="flat" cmpd="sng" algn="ctr">
              <a:solidFill>
                <a:schemeClr val="tx2">
                  <a:lumMod val="15000"/>
                  <a:lumOff val="85000"/>
                </a:schemeClr>
              </a:solidFill>
              <a:prstDash val="solid"/>
              <a:round/>
            </a:ln>
            <a:effectLst/>
          </c:spPr>
        </c:majorGridlines>
        <c:numFmt formatCode="0.00%"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2"/>
                </a:solidFill>
                <a:latin typeface="+mn-lt"/>
                <a:ea typeface="+mn-ea"/>
                <a:cs typeface="+mn-cs"/>
              </a:defRPr>
            </a:pPr>
          </a:p>
        </c:txPr>
        <c:crossAx val="428723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prstDash val="solid"/>
      <a:round/>
    </a:ln>
    <a:effectLst/>
  </c:spPr>
  <c:txPr>
    <a:bodyPr/>
    <a:lstStyle/>
    <a:p>
      <a:pPr>
        <a:defRPr lang="zh-CN"/>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2"/>
          <c:order val="0"/>
          <c:tx>
            <c:strRef>
              <c:f>Sheet1!$B$1</c:f>
              <c:strCache>
                <c:ptCount val="1"/>
                <c:pt idx="0">
                  <c:v>列1</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0.0578703703703704"/>
                  <c:y val="-0.00396825396825397"/>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99537037037037"/>
                  <c:y val="-0.00793650793650794"/>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143518518518519"/>
                  <c:y val="-0.00793650793650786"/>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19212962962963"/>
                  <c:y val="-0.00793650793650801"/>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226851851851852"/>
                  <c:y val="-0.00793650793650794"/>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268518518518519"/>
                  <c:y val="-0.00793650793650794"/>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lt1">
                        <a:lumMod val="85000"/>
                      </a:schemeClr>
                    </a:solidFill>
                    <a:latin typeface="Times New Roman" panose="02020603050405020304" charset="0"/>
                    <a:ea typeface="+mn-ea"/>
                    <a:cs typeface="Times New Roman" panose="02020603050405020304" charset="0"/>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Sheet1!$A$2:$A$7</c:f>
              <c:strCache>
                <c:ptCount val="6"/>
                <c:pt idx="0">
                  <c:v>其他方面</c:v>
                </c:pt>
                <c:pt idx="1">
                  <c:v>开好就业指导课，进行职业生涯辅导</c:v>
                </c:pt>
                <c:pt idx="2">
                  <c:v>广泛向社会宣传学院，增加学院知名度</c:v>
                </c:pt>
                <c:pt idx="3">
                  <c:v>更多收集整理用人单位信息</c:v>
                </c:pt>
                <c:pt idx="4">
                  <c:v>宣讲国家有关毕业生就业相关政策</c:v>
                </c:pt>
                <c:pt idx="5">
                  <c:v>了解毕业生就业意向，进行个别指导</c:v>
                </c:pt>
              </c:strCache>
            </c:strRef>
          </c:cat>
          <c:val>
            <c:numRef>
              <c:f>Sheet1!$B$2:$B$7</c:f>
              <c:numCache>
                <c:formatCode>0.00%</c:formatCode>
                <c:ptCount val="6"/>
                <c:pt idx="0">
                  <c:v>0.0281</c:v>
                </c:pt>
                <c:pt idx="1">
                  <c:v>0.0864</c:v>
                </c:pt>
                <c:pt idx="2">
                  <c:v>0.1292</c:v>
                </c:pt>
                <c:pt idx="3">
                  <c:v>0.2031</c:v>
                </c:pt>
                <c:pt idx="4">
                  <c:v>0.2486</c:v>
                </c:pt>
                <c:pt idx="5">
                  <c:v>0.3046</c:v>
                </c:pt>
              </c:numCache>
            </c:numRef>
          </c:val>
        </c:ser>
        <c:dLbls>
          <c:showLegendKey val="0"/>
          <c:showVal val="1"/>
          <c:showCatName val="0"/>
          <c:showSerName val="0"/>
          <c:showPercent val="0"/>
          <c:showBubbleSize val="0"/>
        </c:dLbls>
        <c:gapWidth val="150"/>
        <c:overlap val="100"/>
        <c:axId val="430009728"/>
        <c:axId val="430274816"/>
      </c:barChart>
      <c:catAx>
        <c:axId val="430009728"/>
        <c:scaling>
          <c:orientation val="minMax"/>
        </c:scaling>
        <c:delete val="0"/>
        <c:axPos val="l"/>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lt1">
                    <a:lumMod val="85000"/>
                  </a:schemeClr>
                </a:solidFill>
                <a:latin typeface="+mn-lt"/>
                <a:ea typeface="+mn-ea"/>
                <a:cs typeface="+mn-cs"/>
              </a:defRPr>
            </a:pPr>
          </a:p>
        </c:txPr>
        <c:crossAx val="430274816"/>
        <c:crosses val="autoZero"/>
        <c:auto val="1"/>
        <c:lblAlgn val="ctr"/>
        <c:lblOffset val="100"/>
        <c:noMultiLvlLbl val="0"/>
      </c:catAx>
      <c:valAx>
        <c:axId val="430274816"/>
        <c:scaling>
          <c:orientation val="minMax"/>
        </c:scaling>
        <c:delete val="0"/>
        <c:axPos val="b"/>
        <c:majorGridlines>
          <c:spPr>
            <a:ln w="9525" cap="flat" cmpd="sng" algn="ctr">
              <a:solidFill>
                <a:schemeClr val="dk1">
                  <a:lumMod val="50000"/>
                  <a:lumOff val="50000"/>
                </a:schemeClr>
              </a:solidFill>
              <a:prstDash val="solid"/>
              <a:round/>
            </a:ln>
            <a:effectLst/>
          </c:spPr>
        </c:majorGridlines>
        <c:numFmt formatCode="0.00%"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lt1">
                    <a:lumMod val="85000"/>
                  </a:schemeClr>
                </a:solidFill>
                <a:latin typeface="+mn-lt"/>
                <a:ea typeface="+mn-ea"/>
                <a:cs typeface="+mn-cs"/>
              </a:defRPr>
            </a:pPr>
          </a:p>
        </c:txPr>
        <c:crossAx val="43000972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w="9525" cap="flat" cmpd="sng" algn="ctr">
      <a:noFill/>
      <a:prstDash val="solid"/>
      <a:round/>
    </a:ln>
    <a:effectLst/>
  </c:spPr>
  <c:txPr>
    <a:bodyPr/>
    <a:lstStyle/>
    <a:p>
      <a:pPr>
        <a:defRPr lang="zh-CN"/>
      </a:pP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销售额</c:v>
                </c:pt>
              </c:strCache>
            </c:strRef>
          </c:tx>
          <c:explosion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dPt>
          <c:dLbls>
            <c:dLbl>
              <c:idx val="0"/>
              <c:layout>
                <c:manualLayout>
                  <c:x val="-0.0176717472940137"/>
                  <c:y val="0.00911369332421964"/>
                </c:manualLayout>
              </c:layout>
              <c:showLegendKey val="0"/>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
                  <c:y val="0.0182273866484393"/>
                </c:manualLayout>
              </c:layout>
              <c:showLegendKey val="0"/>
              <c:showVal val="0"/>
              <c:showCatName val="1"/>
              <c:showSerName val="0"/>
              <c:showPercent val="1"/>
              <c:showBubbleSize val="0"/>
              <c:separator>
</c:separator>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dk1">
                        <a:lumMod val="75000"/>
                        <a:lumOff val="25000"/>
                      </a:schemeClr>
                    </a:solidFill>
                    <a:latin typeface="+mn-lt"/>
                    <a:ea typeface="+mn-ea"/>
                    <a:cs typeface="+mn-cs"/>
                  </a:defRPr>
                </a:pPr>
              </a:p>
            </c:txPr>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dk1">
                          <a:lumMod val="35000"/>
                          <a:lumOff val="65000"/>
                        </a:schemeClr>
                      </a:solidFill>
                      <a:prstDash val="solid"/>
                      <a:round/>
                    </a:ln>
                    <a:effectLst/>
                  </c:spPr>
                </c15:leaderLines>
              </c:ext>
            </c:extLst>
          </c:dLbls>
          <c:cat>
            <c:strRef>
              <c:f>Sheet1!$A$2:$A$5</c:f>
              <c:strCache>
                <c:ptCount val="4"/>
                <c:pt idx="0">
                  <c:v>非常满意</c:v>
                </c:pt>
                <c:pt idx="1">
                  <c:v>满意</c:v>
                </c:pt>
                <c:pt idx="2">
                  <c:v>比较满意</c:v>
                </c:pt>
                <c:pt idx="3">
                  <c:v>不太满意</c:v>
                </c:pt>
              </c:strCache>
            </c:strRef>
          </c:cat>
          <c:val>
            <c:numRef>
              <c:f>Sheet1!$B$2:$B$5</c:f>
              <c:numCache>
                <c:formatCode>0.00%</c:formatCode>
                <c:ptCount val="4"/>
                <c:pt idx="0">
                  <c:v>0.158</c:v>
                </c:pt>
                <c:pt idx="1">
                  <c:v>0.3642</c:v>
                </c:pt>
                <c:pt idx="2">
                  <c:v>0.3816</c:v>
                </c:pt>
                <c:pt idx="3">
                  <c:v>0.0962</c:v>
                </c:pt>
              </c:numCache>
            </c:numRef>
          </c:val>
        </c:ser>
        <c:dLbls>
          <c:showLegendKey val="0"/>
          <c:showVal val="0"/>
          <c:showCatName val="0"/>
          <c:showSerName val="0"/>
          <c:showPercent val="1"/>
          <c:showBubbleSize val="0"/>
          <c:showLeaderLines val="1"/>
        </c:dLbls>
        <c:firstSliceAng val="0"/>
        <c:holeSize val="70"/>
      </c:doughnutChart>
      <c:spPr>
        <a:noFill/>
        <a:ln>
          <a:noFill/>
        </a:ln>
        <a:effectLst/>
      </c:spPr>
    </c:plotArea>
    <c:plotVisOnly val="1"/>
    <c:dispBlanksAs val="gap"/>
    <c:showDLblsOverMax val="0"/>
  </c:chart>
  <c:spPr>
    <a:pattFill prst="pct5">
      <a:fgClr>
        <a:schemeClr val="accent1"/>
      </a:fgClr>
      <a:bgClr>
        <a:schemeClr val="bg1"/>
      </a:bgClr>
    </a:pattFill>
    <a:ln w="9525" cap="flat" cmpd="sng" algn="ctr">
      <a:solidFill>
        <a:schemeClr val="dk1">
          <a:lumMod val="15000"/>
          <a:lumOff val="85000"/>
        </a:schemeClr>
      </a:solidFill>
      <a:prstDash val="solid"/>
      <a:round/>
    </a:ln>
    <a:effectLst/>
  </c:spPr>
  <c:txPr>
    <a:bodyPr/>
    <a:lstStyle/>
    <a:p>
      <a:pPr>
        <a:defRPr lang="zh-CN"/>
      </a:pP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0"/>
          <c:tx>
            <c:strRef>
              <c:f>Sheet1!$B$1</c:f>
              <c:strCache>
                <c:ptCount val="1"/>
                <c:pt idx="0">
                  <c:v>系列 3</c:v>
                </c:pt>
              </c:strCache>
            </c:strRef>
          </c:tx>
          <c:spPr>
            <a:ln w="31750" cap="rnd" cmpd="sng" algn="ctr">
              <a:solidFill>
                <a:schemeClr val="accent3"/>
              </a:solidFill>
              <a:prstDash val="solid"/>
              <a:round/>
            </a:ln>
            <a:effectLst/>
          </c:spPr>
          <c:marker>
            <c:symbol val="circle"/>
            <c:size val="30"/>
            <c:spPr>
              <a:solidFill>
                <a:schemeClr val="accent3"/>
              </a:solidFill>
              <a:ln w="9525" cap="flat" cmpd="sng" algn="ctr">
                <a:noFill/>
                <a:prstDash val="solid"/>
                <a:round/>
              </a:ln>
              <a:effectLst/>
            </c:spPr>
          </c:marker>
          <c:dLbls>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lt1"/>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50000"/>
                          <a:lumOff val="50000"/>
                        </a:schemeClr>
                      </a:solidFill>
                      <a:prstDash val="solid"/>
                      <a:round/>
                    </a:ln>
                    <a:effectLst/>
                  </c:spPr>
                </c15:leaderLines>
              </c:ext>
            </c:extLst>
          </c:dLbls>
          <c:cat>
            <c:strRef>
              <c:f>Sheet1!$A$2:$A$8</c:f>
              <c:strCache>
                <c:ptCount val="7"/>
                <c:pt idx="0">
                  <c:v>2501-3000</c:v>
                </c:pt>
                <c:pt idx="1">
                  <c:v>3001-3500</c:v>
                </c:pt>
                <c:pt idx="2">
                  <c:v>3501-4000</c:v>
                </c:pt>
                <c:pt idx="3">
                  <c:v>4001-4500</c:v>
                </c:pt>
                <c:pt idx="4">
                  <c:v>4501-5000</c:v>
                </c:pt>
                <c:pt idx="5">
                  <c:v>5001-6000</c:v>
                </c:pt>
                <c:pt idx="6">
                  <c:v>6001元以上</c:v>
                </c:pt>
              </c:strCache>
            </c:strRef>
          </c:cat>
          <c:val>
            <c:numRef>
              <c:f>Sheet1!$B$2:$B$8</c:f>
              <c:numCache>
                <c:formatCode>0.00%</c:formatCode>
                <c:ptCount val="7"/>
                <c:pt idx="0">
                  <c:v>0.089</c:v>
                </c:pt>
                <c:pt idx="1">
                  <c:v>0.2264</c:v>
                </c:pt>
                <c:pt idx="2">
                  <c:v>0.2825</c:v>
                </c:pt>
                <c:pt idx="3">
                  <c:v>0.199</c:v>
                </c:pt>
                <c:pt idx="4">
                  <c:v>0.1002</c:v>
                </c:pt>
                <c:pt idx="5">
                  <c:v>0.0628</c:v>
                </c:pt>
                <c:pt idx="6">
                  <c:v>0.0401</c:v>
                </c:pt>
              </c:numCache>
            </c:numRef>
          </c:val>
          <c:smooth val="0"/>
        </c:ser>
        <c:dLbls>
          <c:showLegendKey val="0"/>
          <c:showVal val="1"/>
          <c:showCatName val="0"/>
          <c:showSerName val="0"/>
          <c:showPercent val="0"/>
          <c:showBubbleSize val="0"/>
        </c:dLbls>
        <c:marker val="1"/>
        <c:smooth val="0"/>
        <c:axId val="431108480"/>
        <c:axId val="431111168"/>
      </c:lineChart>
      <c:catAx>
        <c:axId val="43110848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6000000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p>
        </c:txPr>
        <c:crossAx val="431111168"/>
        <c:crosses val="autoZero"/>
        <c:auto val="1"/>
        <c:lblAlgn val="ctr"/>
        <c:lblOffset val="100"/>
        <c:noMultiLvlLbl val="0"/>
      </c:catAx>
      <c:valAx>
        <c:axId val="43111116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olid"/>
              <a:round/>
            </a:ln>
            <a:effectLst/>
          </c:spPr>
        </c:majorGridlines>
        <c:numFmt formatCode="0.00%"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3110848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prstDash val="solid"/>
      <a:round/>
    </a:ln>
    <a:effectLst/>
  </c:spPr>
  <c:txPr>
    <a:bodyPr/>
    <a:lstStyle/>
    <a:p>
      <a:pPr>
        <a:defRPr lang="zh-CN"/>
      </a:pP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zh-CN" sz="1400"/>
              <a:t>用人单位对毕业生</a:t>
            </a:r>
            <a:r>
              <a:rPr lang="zh-CN" altLang="en-US" sz="1400"/>
              <a:t>就业竞争力</a:t>
            </a:r>
            <a:r>
              <a:rPr lang="zh-CN" sz="1400"/>
              <a:t>的评价</a:t>
            </a:r>
            <a:endParaRPr lang="zh-CN" sz="1400"/>
          </a:p>
        </c:rich>
      </c:tx>
      <c:layout/>
      <c:overlay val="0"/>
      <c:spPr>
        <a:noFill/>
        <a:ln>
          <a:noFill/>
        </a:ln>
        <a:effectLst/>
      </c:spPr>
    </c:title>
    <c:autoTitleDeleted val="0"/>
    <c:plotArea>
      <c:layout/>
      <c:barChart>
        <c:barDir val="bar"/>
        <c:grouping val="clustered"/>
        <c:varyColors val="0"/>
        <c:ser>
          <c:idx val="0"/>
          <c:order val="0"/>
          <c:tx>
            <c:strRef>
              <c:f>Sheet1!$B$1</c:f>
              <c:strCache>
                <c:ptCount val="1"/>
                <c:pt idx="0">
                  <c:v>系列 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spPr>
              <a:solidFill>
                <a:schemeClr val="accent3">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invertIfNegative val="0"/>
            <c:bubble3D val="0"/>
            <c:spPr>
              <a:solidFill>
                <a:schemeClr val="accent2">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invertIfNegative val="0"/>
            <c:bubble3D val="0"/>
            <c:spPr>
              <a:solidFill>
                <a:schemeClr val="accent6">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invertIfNegative val="0"/>
            <c:bubble3D val="0"/>
            <c:spPr>
              <a:solidFill>
                <a:schemeClr val="accent5">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invertIfNegative val="0"/>
            <c:bubble3D val="0"/>
            <c:spPr>
              <a:solidFill>
                <a:schemeClr val="accent3">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5"/>
            <c:invertIfNegative val="0"/>
            <c:bubble3D val="0"/>
            <c:spPr>
              <a:solidFill>
                <a:schemeClr val="accent2">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6"/>
            <c:invertIfNegative val="0"/>
            <c:bubble3D val="0"/>
            <c:spPr>
              <a:solidFill>
                <a:schemeClr val="accent6">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7"/>
            <c:invertIfNegative val="0"/>
            <c:bubble3D val="0"/>
            <c:spPr>
              <a:solidFill>
                <a:schemeClr val="accent5">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8"/>
            <c:invertIfNegative val="0"/>
            <c:bubble3D val="0"/>
            <c:spPr>
              <a:solidFill>
                <a:schemeClr val="accent3">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9"/>
            <c:invertIfNegative val="0"/>
            <c:bubble3D val="0"/>
            <c:spPr>
              <a:solidFill>
                <a:schemeClr val="accent2">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0"/>
            <c:invertIfNegative val="0"/>
            <c:bubble3D val="0"/>
            <c:spPr>
              <a:solidFill>
                <a:schemeClr val="accent6">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1"/>
            <c:invertIfNegative val="0"/>
            <c:bubble3D val="0"/>
            <c:spPr>
              <a:solidFill>
                <a:schemeClr val="accent5">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layout>
                <c:manualLayout>
                  <c:x val="-0.00553240740740741"/>
                  <c:y val="-1.45500964663086e-1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553240740740741"/>
                  <c:y val="-1.45500964663086e-1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361111111111111"/>
                  <c:y val="-1.45500964663086e-1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592592592592593"/>
                  <c:y val="0.0039682539682539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68287037037037"/>
                  <c:y val="-1.45500964663086e-1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068287037037037"/>
                  <c:y val="-0.0039682539682539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0321759259259268"/>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0321759259259268"/>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000115740740740741"/>
                  <c:y val="7.27504823315428e-1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0.00219907407407407"/>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0.00451388888888906"/>
                  <c:y val="0.0039682539682539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0.0091435185185185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lt1">
                        <a:lumMod val="85000"/>
                      </a:schemeClr>
                    </a:solidFill>
                    <a:latin typeface="Times New Roman" panose="02020603050405020304" charset="0"/>
                    <a:ea typeface="+mn-ea"/>
                    <a:cs typeface="Times New Roman" panose="02020603050405020304" charset="0"/>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lt1">
                          <a:lumMod val="95000"/>
                          <a:alpha val="54000"/>
                        </a:schemeClr>
                      </a:solidFill>
                      <a:prstDash val="solid"/>
                      <a:round/>
                    </a:ln>
                    <a:effectLst/>
                  </c:spPr>
                </c15:leaderLines>
              </c:ext>
            </c:extLst>
          </c:dLbls>
          <c:cat>
            <c:strRef>
              <c:f>Sheet1!$A$2:$A$13</c:f>
              <c:strCache>
                <c:ptCount val="12"/>
                <c:pt idx="0">
                  <c:v>灵活应变能力</c:v>
                </c:pt>
                <c:pt idx="1">
                  <c:v>创新能力</c:v>
                </c:pt>
                <c:pt idx="2">
                  <c:v>组织协调能力</c:v>
                </c:pt>
                <c:pt idx="3">
                  <c:v>语言表达能力</c:v>
                </c:pt>
                <c:pt idx="4">
                  <c:v>自主学习能力</c:v>
                </c:pt>
                <c:pt idx="5">
                  <c:v>团队合作精神</c:v>
                </c:pt>
                <c:pt idx="6">
                  <c:v>执行力</c:v>
                </c:pt>
                <c:pt idx="7">
                  <c:v>适应能力</c:v>
                </c:pt>
                <c:pt idx="8">
                  <c:v>专业知识与技能</c:v>
                </c:pt>
                <c:pt idx="9">
                  <c:v>抗压抗挫能力</c:v>
                </c:pt>
                <c:pt idx="10">
                  <c:v>吃苦耐劳精神</c:v>
                </c:pt>
                <c:pt idx="11">
                  <c:v>敬业精神与职业道德</c:v>
                </c:pt>
              </c:strCache>
            </c:strRef>
          </c:cat>
          <c:val>
            <c:numRef>
              <c:f>Sheet1!$B$2:$B$13</c:f>
              <c:numCache>
                <c:formatCode>@</c:formatCode>
                <c:ptCount val="12"/>
                <c:pt idx="0">
                  <c:v>3.9</c:v>
                </c:pt>
                <c:pt idx="1">
                  <c:v>3.9</c:v>
                </c:pt>
                <c:pt idx="2">
                  <c:v>4</c:v>
                </c:pt>
                <c:pt idx="3">
                  <c:v>4</c:v>
                </c:pt>
                <c:pt idx="4">
                  <c:v>4.26</c:v>
                </c:pt>
                <c:pt idx="5">
                  <c:v>4.26</c:v>
                </c:pt>
                <c:pt idx="6">
                  <c:v>4.3</c:v>
                </c:pt>
                <c:pt idx="7">
                  <c:v>4.3</c:v>
                </c:pt>
                <c:pt idx="8">
                  <c:v>4.45</c:v>
                </c:pt>
                <c:pt idx="9">
                  <c:v>4.48</c:v>
                </c:pt>
                <c:pt idx="10">
                  <c:v>4.48</c:v>
                </c:pt>
                <c:pt idx="11">
                  <c:v>4.52</c:v>
                </c:pt>
              </c:numCache>
            </c:numRef>
          </c:val>
        </c:ser>
        <c:dLbls>
          <c:showLegendKey val="0"/>
          <c:showVal val="1"/>
          <c:showCatName val="0"/>
          <c:showSerName val="0"/>
          <c:showPercent val="0"/>
          <c:showBubbleSize val="0"/>
        </c:dLbls>
        <c:gapWidth val="85"/>
        <c:overlap val="-20"/>
        <c:axId val="431199360"/>
        <c:axId val="431211264"/>
      </c:barChart>
      <c:catAx>
        <c:axId val="431199360"/>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lt1">
                    <a:lumMod val="85000"/>
                  </a:schemeClr>
                </a:solidFill>
                <a:latin typeface="+mn-lt"/>
                <a:ea typeface="+mn-ea"/>
                <a:cs typeface="+mn-cs"/>
              </a:defRPr>
            </a:pPr>
          </a:p>
        </c:txPr>
        <c:crossAx val="431211264"/>
        <c:crosses val="autoZero"/>
        <c:auto val="1"/>
        <c:lblAlgn val="ctr"/>
        <c:lblOffset val="100"/>
        <c:noMultiLvlLbl val="0"/>
      </c:catAx>
      <c:valAx>
        <c:axId val="431211264"/>
        <c:scaling>
          <c:orientation val="minMax"/>
        </c:scaling>
        <c:delete val="0"/>
        <c:axPos val="b"/>
        <c:majorGridlines>
          <c:spPr>
            <a:ln w="9525" cap="flat" cmpd="sng" algn="ctr">
              <a:solidFill>
                <a:schemeClr val="lt1">
                  <a:lumMod val="95000"/>
                  <a:alpha val="10000"/>
                </a:schemeClr>
              </a:solidFill>
              <a:prstDash val="solid"/>
              <a:round/>
            </a:ln>
            <a:effectLst/>
          </c:spPr>
        </c:majorGridlines>
        <c:numFmt formatCode="@"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lt1">
                    <a:lumMod val="85000"/>
                  </a:schemeClr>
                </a:solidFill>
                <a:latin typeface="+mn-lt"/>
                <a:ea typeface="+mn-ea"/>
                <a:cs typeface="+mn-cs"/>
              </a:defRPr>
            </a:pPr>
          </a:p>
        </c:txPr>
        <c:crossAx val="43119936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w="9525" cap="flat" cmpd="sng" algn="ctr">
      <a:noFill/>
      <a:prstDash val="solid"/>
      <a:round/>
    </a:ln>
    <a:effectLst/>
  </c:spPr>
  <c:txPr>
    <a:bodyPr/>
    <a:lstStyle/>
    <a:p>
      <a:pPr>
        <a:defRPr lang="zh-CN"/>
      </a:pP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lang="zh-CN"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p>
      </c:txPr>
    </c:title>
    <c:autoTitleDeleted val="0"/>
    <c:plotArea>
      <c:layout/>
      <c:doughnutChart>
        <c:varyColors val="1"/>
        <c:ser>
          <c:idx val="0"/>
          <c:order val="0"/>
          <c:tx>
            <c:strRef>
              <c:f>Sheet1!$B$1</c:f>
              <c:strCache>
                <c:ptCount val="1"/>
                <c:pt idx="0">
                  <c:v>用人单位对毕业生的认可度</c:v>
                </c:pt>
              </c:strCache>
            </c:strRef>
          </c:tx>
          <c:explosion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layout>
                <c:manualLayout>
                  <c:x val="0.00462962962962954"/>
                  <c:y val="0"/>
                </c:manualLayout>
              </c:layout>
              <c:tx>
                <c:rich>
                  <a:bodyPr rot="0" spcFirstLastPara="1" vertOverflow="clip" horzOverflow="clip" vert="horz" wrap="square" lIns="38100" tIns="19050" rIns="38100" bIns="19050" anchor="ctr" anchorCtr="1">
                    <a:noAutofit/>
                  </a:bodyPr>
                  <a:lstStyle/>
                  <a:p>
                    <a:pPr>
                      <a:defRPr lang="zh-CN" sz="900" b="0" i="0" u="none" strike="noStrike" kern="1200" baseline="0">
                        <a:solidFill>
                          <a:schemeClr val="dk1">
                            <a:lumMod val="65000"/>
                            <a:lumOff val="35000"/>
                          </a:schemeClr>
                        </a:solidFill>
                        <a:latin typeface="+mn-lt"/>
                        <a:ea typeface="+mn-ea"/>
                        <a:cs typeface="+mn-cs"/>
                      </a:defRPr>
                    </a:pPr>
                    <a:r>
                      <a:rPr lang="en-US" altLang="zh-CN" b="1">
                        <a:solidFill>
                          <a:schemeClr val="tx1"/>
                        </a:solidFill>
                        <a:latin typeface="Times New Roman" panose="02020603050405020304" charset="0"/>
                        <a:cs typeface="Times New Roman" panose="02020603050405020304" charset="0"/>
                      </a:rPr>
                      <a:t>42.2%</a:t>
                    </a:r>
                    <a:endParaRPr lang="en-US" altLang="zh-CN" b="1">
                      <a:solidFill>
                        <a:schemeClr val="tx1"/>
                      </a:solidFill>
                      <a:latin typeface="Times New Roman" panose="02020603050405020304" charset="0"/>
                      <a:cs typeface="Times New Roman" panose="02020603050405020304" charset="0"/>
                    </a:endParaRPr>
                  </a:p>
                </c:rich>
              </c:tx>
              <c:numFmt formatCode="General" sourceLinked="1"/>
              <c:spPr>
                <a:noFill/>
                <a:ln>
                  <a:noFill/>
                </a:ln>
                <a:effectLst/>
              </c:spPr>
              <c:txPr>
                <a:bodyPr rot="0" spcFirstLastPara="1" vertOverflow="clip" horzOverflow="clip" vert="horz" wrap="square" lIns="38100" tIns="19050" rIns="38100" bIns="19050" anchor="ctr" anchorCtr="1">
                  <a:noAutofit/>
                </a:bodyPr>
                <a:lstStyle/>
                <a:p>
                  <a:pPr>
                    <a:defRPr lang="zh-CN" sz="900" b="0" i="0" u="none" strike="noStrike" kern="1200" baseline="0">
                      <a:solidFill>
                        <a:schemeClr val="dk1">
                          <a:lumMod val="65000"/>
                          <a:lumOff val="35000"/>
                        </a:schemeClr>
                      </a:solidFill>
                      <a:latin typeface="+mn-lt"/>
                      <a:ea typeface="+mn-ea"/>
                      <a:cs typeface="+mn-cs"/>
                    </a:defRPr>
                  </a:pPr>
                </a:p>
              </c:txPr>
              <c:showLegendKey val="0"/>
              <c:showVal val="0"/>
              <c:showCatName val="0"/>
              <c:showSerName val="0"/>
              <c:showPercent val="1"/>
              <c:showBubbleSize val="0"/>
              <c:extLst>
                <c:ext xmlns:c15="http://schemas.microsoft.com/office/drawing/2012/chart" uri="{CE6537A1-D6FC-4f65-9D91-7224C49458BB}">
                  <c15:layout/>
                </c:ext>
              </c:extLst>
            </c:dLbl>
            <c:dLbl>
              <c:idx val="1"/>
              <c:layout/>
              <c:tx>
                <c:rich>
                  <a:bodyPr rot="0" spcFirstLastPara="1" vertOverflow="ellipsis" vert="horz" wrap="square" lIns="38100" tIns="19050" rIns="38100" bIns="19050" anchor="ctr" anchorCtr="1"/>
                  <a:lstStyle/>
                  <a:p>
                    <a:pPr>
                      <a:defRPr lang="zh-CN" sz="900" b="0" i="0" u="none" strike="noStrike" kern="1200" baseline="0">
                        <a:solidFill>
                          <a:schemeClr val="lt1">
                            <a:lumMod val="85000"/>
                          </a:schemeClr>
                        </a:solidFill>
                        <a:latin typeface="+mn-lt"/>
                        <a:ea typeface="+mn-ea"/>
                        <a:cs typeface="+mn-cs"/>
                      </a:defRPr>
                    </a:pPr>
                    <a:r>
                      <a:rPr lang="en-US" altLang="zh-CN" b="1">
                        <a:solidFill>
                          <a:schemeClr val="tx1"/>
                        </a:solidFill>
                        <a:latin typeface="Times New Roman" panose="02020603050405020304" charset="0"/>
                        <a:cs typeface="Times New Roman" panose="02020603050405020304" charset="0"/>
                      </a:rPr>
                      <a:t>48.6%</a:t>
                    </a:r>
                    <a:endParaRPr lang="en-US" altLang="zh-CN" b="1">
                      <a:solidFill>
                        <a:schemeClr val="tx1"/>
                      </a:solidFill>
                      <a:latin typeface="Times New Roman" panose="02020603050405020304" charset="0"/>
                      <a:cs typeface="Times New Roman" panose="02020603050405020304" charset="0"/>
                    </a:endParaRPr>
                  </a:p>
                </c:rich>
              </c:tx>
              <c:showLegendKey val="0"/>
              <c:showVal val="0"/>
              <c:showCatName val="0"/>
              <c:showSerName val="0"/>
              <c:showPercent val="1"/>
              <c:showBubbleSize val="0"/>
              <c:extLst>
                <c:ext xmlns:c15="http://schemas.microsoft.com/office/drawing/2012/chart" uri="{CE6537A1-D6FC-4f65-9D91-7224C49458BB}"/>
              </c:extLst>
            </c:dLbl>
            <c:dLbl>
              <c:idx val="2"/>
              <c:layout/>
              <c:tx>
                <c:rich>
                  <a:bodyPr rot="0" spcFirstLastPara="1" vertOverflow="clip" horzOverflow="clip" vert="horz" wrap="square" lIns="38100" tIns="19050" rIns="38100" bIns="19050" anchor="ctr" anchorCtr="1">
                    <a:noAutofit/>
                  </a:bodyPr>
                  <a:lstStyle/>
                  <a:p>
                    <a:pPr>
                      <a:defRPr lang="zh-CN" sz="900" b="0" i="0" u="none" strike="noStrike" kern="1200" baseline="0">
                        <a:solidFill>
                          <a:schemeClr val="dk1">
                            <a:lumMod val="65000"/>
                            <a:lumOff val="35000"/>
                          </a:schemeClr>
                        </a:solidFill>
                        <a:latin typeface="+mn-lt"/>
                        <a:ea typeface="+mn-ea"/>
                        <a:cs typeface="+mn-cs"/>
                      </a:defRPr>
                    </a:pPr>
                    <a:r>
                      <a:rPr lang="en-US" altLang="zh-CN" b="1">
                        <a:solidFill>
                          <a:schemeClr val="tx1"/>
                        </a:solidFill>
                        <a:latin typeface="Times New Roman" panose="02020603050405020304" charset="0"/>
                        <a:cs typeface="Times New Roman" panose="02020603050405020304" charset="0"/>
                      </a:rPr>
                      <a:t>9.2%</a:t>
                    </a:r>
                    <a:endParaRPr lang="en-US" altLang="zh-CN" b="1">
                      <a:solidFill>
                        <a:schemeClr val="tx1"/>
                      </a:solidFill>
                      <a:latin typeface="Times New Roman" panose="02020603050405020304" charset="0"/>
                      <a:cs typeface="Times New Roman" panose="02020603050405020304" charset="0"/>
                    </a:endParaRPr>
                  </a:p>
                </c:rich>
              </c:tx>
              <c:numFmt formatCode="General" sourceLinked="1"/>
              <c:spPr>
                <a:noFill/>
                <a:ln>
                  <a:noFill/>
                </a:ln>
                <a:effectLst/>
              </c:spPr>
              <c:txPr>
                <a:bodyPr rot="0" spcFirstLastPara="1" vertOverflow="clip" horzOverflow="clip" vert="horz" wrap="square" lIns="38100" tIns="19050" rIns="38100" bIns="19050" anchor="ctr" anchorCtr="1">
                  <a:noAutofit/>
                </a:bodyPr>
                <a:lstStyle/>
                <a:p>
                  <a:pPr>
                    <a:defRPr lang="zh-CN" sz="900" b="0" i="0" u="none" strike="noStrike" kern="1200" baseline="0">
                      <a:solidFill>
                        <a:schemeClr val="dk1">
                          <a:lumMod val="65000"/>
                          <a:lumOff val="35000"/>
                        </a:schemeClr>
                      </a:solidFill>
                      <a:latin typeface="+mn-lt"/>
                      <a:ea typeface="+mn-ea"/>
                      <a:cs typeface="+mn-cs"/>
                    </a:defRPr>
                  </a:pPr>
                </a:p>
              </c:txPr>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lt1">
                        <a:lumMod val="85000"/>
                      </a:schemeClr>
                    </a:solidFill>
                    <a:latin typeface="+mn-lt"/>
                    <a:ea typeface="+mn-ea"/>
                    <a:cs typeface="+mn-cs"/>
                  </a:defRPr>
                </a:pPr>
              </a:p>
            </c:txPr>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lt1">
                          <a:lumMod val="95000"/>
                          <a:alpha val="54000"/>
                        </a:schemeClr>
                      </a:solidFill>
                      <a:prstDash val="solid"/>
                      <a:round/>
                    </a:ln>
                    <a:effectLst/>
                  </c:spPr>
                </c15:leaderLines>
              </c:ext>
            </c:extLst>
          </c:dLbls>
          <c:cat>
            <c:strRef>
              <c:f>Sheet1!$A$2:$A$5</c:f>
              <c:strCache>
                <c:ptCount val="3"/>
                <c:pt idx="0">
                  <c:v>非常认可</c:v>
                </c:pt>
                <c:pt idx="1">
                  <c:v>认可</c:v>
                </c:pt>
                <c:pt idx="2">
                  <c:v>比较认可</c:v>
                </c:pt>
              </c:strCache>
            </c:strRef>
          </c:cat>
          <c:val>
            <c:numRef>
              <c:f>Sheet1!$B$2:$B$5</c:f>
              <c:numCache>
                <c:formatCode>General</c:formatCode>
                <c:ptCount val="4"/>
                <c:pt idx="0">
                  <c:v>42.2</c:v>
                </c:pt>
                <c:pt idx="1">
                  <c:v>48.6</c:v>
                </c:pt>
                <c:pt idx="2">
                  <c:v>9.2</c:v>
                </c:pt>
              </c:numCache>
            </c:numRef>
          </c:val>
        </c:ser>
        <c:dLbls>
          <c:showLegendKey val="0"/>
          <c:showVal val="0"/>
          <c:showCatName val="0"/>
          <c:showSerName val="0"/>
          <c:showPercent val="1"/>
          <c:showBubbleSize val="0"/>
          <c:showLeaderLines val="1"/>
        </c:dLbls>
        <c:firstSliceAng val="0"/>
        <c:holeSize val="75"/>
      </c:doughnut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lt1">
                  <a:lumMod val="85000"/>
                </a:schemeClr>
              </a:solidFill>
              <a:latin typeface="+mn-lt"/>
              <a:ea typeface="+mn-ea"/>
              <a:cs typeface="+mn-cs"/>
            </a:defRPr>
          </a:pP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w="9525" cap="flat" cmpd="sng" algn="ctr">
      <a:no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sz="1200" b="1"/>
              <a:t>来源结构</a:t>
            </a:r>
            <a:endParaRPr lang="zh-CN" altLang="en-US" sz="1200" b="1"/>
          </a:p>
        </c:rich>
      </c:tx>
      <c:layout/>
      <c:overlay val="0"/>
      <c:spPr>
        <a:noFill/>
        <a:ln>
          <a:noFill/>
        </a:ln>
        <a:effectLst/>
      </c:spPr>
    </c:title>
    <c:autoTitleDeleted val="0"/>
    <c:plotArea>
      <c:layout/>
      <c:pieChart>
        <c:varyColors val="1"/>
        <c:ser>
          <c:idx val="0"/>
          <c:order val="0"/>
          <c:tx>
            <c:strRef>
              <c:f>Sheet1!$B$1</c:f>
              <c:strCache>
                <c:ptCount val="1"/>
                <c:pt idx="0">
                  <c:v>生源类别</c:v>
                </c:pt>
              </c:strCache>
            </c:strRef>
          </c:tx>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elete val="1"/>
          </c:dLbls>
          <c:cat>
            <c:strRef>
              <c:f>Sheet1!$A$2:$A$5</c:f>
              <c:strCache>
                <c:ptCount val="2"/>
                <c:pt idx="0">
                  <c:v>三校生</c:v>
                </c:pt>
                <c:pt idx="1">
                  <c:v>普通高中生</c:v>
                </c:pt>
              </c:strCache>
            </c:strRef>
          </c:cat>
          <c:val>
            <c:numRef>
              <c:f>Sheet1!$B$2:$B$5</c:f>
              <c:numCache>
                <c:formatCode>General</c:formatCode>
                <c:ptCount val="4"/>
                <c:pt idx="0">
                  <c:v>819</c:v>
                </c:pt>
                <c:pt idx="1">
                  <c:v>1772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sz="1200" b="1"/>
              <a:t>生源地分布</a:t>
            </a:r>
            <a:endParaRPr lang="en-US" sz="1200" b="1"/>
          </a:p>
        </c:rich>
      </c:tx>
      <c:layout/>
      <c:overlay val="0"/>
      <c:spPr>
        <a:noFill/>
        <a:ln>
          <a:noFill/>
        </a:ln>
        <a:effectLst/>
      </c:spPr>
    </c:title>
    <c:autoTitleDeleted val="0"/>
    <c:plotArea>
      <c:layout>
        <c:manualLayout>
          <c:layoutTarget val="inner"/>
          <c:xMode val="edge"/>
          <c:yMode val="edge"/>
          <c:x val="0.0794040348916781"/>
          <c:y val="0.165403767049145"/>
          <c:w val="0.902994204932304"/>
          <c:h val="0.509065772493961"/>
        </c:manualLayout>
      </c:layout>
      <c:barChart>
        <c:barDir val="col"/>
        <c:grouping val="clustered"/>
        <c:varyColors val="0"/>
        <c:ser>
          <c:idx val="0"/>
          <c:order val="0"/>
          <c:tx>
            <c:strRef>
              <c:f>Sheet1!$B$1</c:f>
              <c:strCache>
                <c:ptCount val="1"/>
                <c:pt idx="0">
                  <c:v>系列1  2591  388  359  340  292  266  240  205  141  105  101  84  55  12  3</c:v>
                </c:pt>
              </c:strCache>
            </c:strRef>
          </c:tx>
          <c:spPr>
            <a:gradFill>
              <a:gsLst>
                <a:gs pos="0">
                  <a:schemeClr val="tx2">
                    <a:lumMod val="50000"/>
                  </a:schemeClr>
                </a:gs>
                <a:gs pos="54500">
                  <a:schemeClr val="tx2">
                    <a:lumMod val="60000"/>
                    <a:lumOff val="40000"/>
                  </a:schemeClr>
                </a:gs>
                <a:gs pos="26000">
                  <a:schemeClr val="tx2">
                    <a:lumMod val="75000"/>
                  </a:schemeClr>
                </a:gs>
                <a:gs pos="77000">
                  <a:schemeClr val="tx2">
                    <a:lumMod val="75000"/>
                  </a:schemeClr>
                </a:gs>
                <a:gs pos="100000">
                  <a:schemeClr val="tx2">
                    <a:lumMod val="50000"/>
                  </a:schemeClr>
                </a:gs>
              </a:gsLst>
              <a:lin ang="10800000" scaled="1"/>
            </a:gradFill>
            <a:ln>
              <a:noFill/>
            </a:ln>
            <a:effectLst/>
          </c:spPr>
          <c:invertIfNegative val="0"/>
          <c:dPt>
            <c:idx val="0"/>
            <c:invertIfNegative val="0"/>
            <c:bubble3D val="0"/>
            <c:spPr>
              <a:gradFill flip="none" rotWithShape="1">
                <a:gsLst>
                  <a:gs pos="0">
                    <a:schemeClr val="tx2">
                      <a:lumMod val="50000"/>
                    </a:schemeClr>
                  </a:gs>
                  <a:gs pos="54500">
                    <a:schemeClr val="tx2">
                      <a:lumMod val="60000"/>
                      <a:lumOff val="40000"/>
                    </a:schemeClr>
                  </a:gs>
                  <a:gs pos="26000">
                    <a:schemeClr val="tx2">
                      <a:lumMod val="75000"/>
                    </a:schemeClr>
                  </a:gs>
                  <a:gs pos="77000">
                    <a:schemeClr val="tx2">
                      <a:lumMod val="75000"/>
                    </a:schemeClr>
                  </a:gs>
                  <a:gs pos="100000">
                    <a:schemeClr val="tx2">
                      <a:lumMod val="50000"/>
                    </a:schemeClr>
                  </a:gs>
                </a:gsLst>
                <a:lin ang="10800000" scaled="1"/>
                <a:tileRect/>
              </a:gra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Sheet1!$A$2:$A$16</c:f>
              <c:strCache>
                <c:ptCount val="15"/>
                <c:pt idx="0">
                  <c:v>毕业生总数</c:v>
                </c:pt>
                <c:pt idx="1">
                  <c:v>定西市</c:v>
                </c:pt>
                <c:pt idx="2">
                  <c:v>陇南市</c:v>
                </c:pt>
                <c:pt idx="3">
                  <c:v>甘南州</c:v>
                </c:pt>
                <c:pt idx="4">
                  <c:v>白银市</c:v>
                </c:pt>
                <c:pt idx="5">
                  <c:v>临夏州</c:v>
                </c:pt>
                <c:pt idx="6">
                  <c:v>庆阳市</c:v>
                </c:pt>
                <c:pt idx="7">
                  <c:v>平凉市</c:v>
                </c:pt>
                <c:pt idx="8">
                  <c:v>天水市</c:v>
                </c:pt>
                <c:pt idx="9">
                  <c:v>张掖市</c:v>
                </c:pt>
                <c:pt idx="10">
                  <c:v>武威市</c:v>
                </c:pt>
                <c:pt idx="11">
                  <c:v>兰州市</c:v>
                </c:pt>
                <c:pt idx="12">
                  <c:v>酒泉市</c:v>
                </c:pt>
                <c:pt idx="13">
                  <c:v>金昌市</c:v>
                </c:pt>
                <c:pt idx="14">
                  <c:v>嘉峪关市</c:v>
                </c:pt>
              </c:strCache>
            </c:strRef>
          </c:cat>
          <c:val>
            <c:numRef>
              <c:f>Sheet1!$B$2:$B$16</c:f>
              <c:numCache>
                <c:formatCode>General</c:formatCode>
                <c:ptCount val="15"/>
                <c:pt idx="0">
                  <c:v>2591</c:v>
                </c:pt>
                <c:pt idx="1">
                  <c:v>388</c:v>
                </c:pt>
                <c:pt idx="2">
                  <c:v>359</c:v>
                </c:pt>
                <c:pt idx="3">
                  <c:v>340</c:v>
                </c:pt>
                <c:pt idx="4">
                  <c:v>292</c:v>
                </c:pt>
                <c:pt idx="5">
                  <c:v>266</c:v>
                </c:pt>
                <c:pt idx="6">
                  <c:v>240</c:v>
                </c:pt>
                <c:pt idx="7">
                  <c:v>205</c:v>
                </c:pt>
                <c:pt idx="8">
                  <c:v>141</c:v>
                </c:pt>
                <c:pt idx="9">
                  <c:v>105</c:v>
                </c:pt>
                <c:pt idx="10">
                  <c:v>101</c:v>
                </c:pt>
                <c:pt idx="11">
                  <c:v>84</c:v>
                </c:pt>
                <c:pt idx="12">
                  <c:v>55</c:v>
                </c:pt>
                <c:pt idx="13">
                  <c:v>12</c:v>
                </c:pt>
                <c:pt idx="14">
                  <c:v>3</c:v>
                </c:pt>
              </c:numCache>
            </c:numRef>
          </c:val>
        </c:ser>
        <c:dLbls>
          <c:showLegendKey val="0"/>
          <c:showVal val="1"/>
          <c:showCatName val="0"/>
          <c:showSerName val="0"/>
          <c:showPercent val="0"/>
          <c:showBubbleSize val="0"/>
        </c:dLbls>
        <c:gapWidth val="65"/>
        <c:overlap val="75"/>
        <c:axId val="401855232"/>
        <c:axId val="402259968"/>
      </c:barChart>
      <c:catAx>
        <c:axId val="401855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9968"/>
        <c:crosses val="autoZero"/>
        <c:auto val="1"/>
        <c:lblAlgn val="ctr"/>
        <c:lblOffset val="100"/>
        <c:noMultiLvlLbl val="0"/>
      </c:catAx>
      <c:valAx>
        <c:axId val="402259968"/>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1855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200"/>
              <a:t>各专业大类就业人数</a:t>
            </a:r>
            <a:endParaRPr lang="zh-CN" altLang="en-US" sz="1200"/>
          </a:p>
        </c:rich>
      </c:tx>
      <c:layout>
        <c:manualLayout>
          <c:xMode val="edge"/>
          <c:yMode val="edge"/>
          <c:x val="0.343665229879381"/>
          <c:y val="0.022075055187638"/>
        </c:manualLayout>
      </c:layout>
      <c:overlay val="0"/>
    </c:title>
    <c:autoTitleDeleted val="0"/>
    <c:plotArea>
      <c:layout/>
      <c:barChart>
        <c:barDir val="col"/>
        <c:grouping val="clustered"/>
        <c:varyColors val="0"/>
        <c:ser>
          <c:idx val="0"/>
          <c:order val="0"/>
          <c:tx>
            <c:strRef>
              <c:f>Sheet2!$A$3</c:f>
              <c:strCache>
                <c:ptCount val="1"/>
                <c:pt idx="0">
                  <c:v>毕业生总数</c:v>
                </c:pt>
              </c:strCache>
            </c:strRef>
          </c:tx>
          <c:spPr>
            <a:gradFill flip="none" rotWithShape="1">
              <a:gsLst>
                <a:gs pos="0">
                  <a:srgbClr val="4F81BD">
                    <a:lumMod val="89000"/>
                  </a:srgbClr>
                </a:gs>
                <a:gs pos="23000">
                  <a:srgbClr val="4F81BD">
                    <a:lumMod val="89000"/>
                  </a:srgbClr>
                </a:gs>
                <a:gs pos="69000">
                  <a:srgbClr val="4F81BD">
                    <a:lumMod val="75000"/>
                  </a:srgbClr>
                </a:gs>
                <a:gs pos="97000">
                  <a:srgbClr val="4F81BD">
                    <a:lumMod val="70000"/>
                  </a:srgbClr>
                </a:gs>
              </a:gsLst>
              <a:path path="circle">
                <a:fillToRect l="50000" t="50000" r="50000" b="50000"/>
              </a:path>
              <a:tileRect/>
            </a:gradFill>
          </c:spPr>
          <c:invertIfNegative val="0"/>
          <c:dPt>
            <c:idx val="0"/>
            <c:invertIfNegative val="0"/>
            <c:bubble3D val="0"/>
            <c:spPr>
              <a:gradFill flip="none" rotWithShape="1">
                <a:gsLst>
                  <a:gs pos="25000">
                    <a:srgbClr val="1F497D">
                      <a:lumMod val="75000"/>
                    </a:srgbClr>
                  </a:gs>
                  <a:gs pos="0">
                    <a:srgbClr val="1F497D">
                      <a:lumMod val="50000"/>
                    </a:srgbClr>
                  </a:gs>
                  <a:gs pos="52000">
                    <a:srgbClr val="1F497D">
                      <a:lumMod val="60000"/>
                      <a:lumOff val="40000"/>
                    </a:srgbClr>
                  </a:gs>
                  <a:gs pos="77000">
                    <a:srgbClr val="1F497D">
                      <a:lumMod val="75000"/>
                    </a:srgbClr>
                  </a:gs>
                  <a:gs pos="97000">
                    <a:srgbClr val="1F497D">
                      <a:lumMod val="50000"/>
                    </a:srgbClr>
                  </a:gs>
                </a:gsLst>
                <a:lin ang="10800000" scaled="1"/>
                <a:tileRect/>
              </a:gradFill>
            </c:spPr>
          </c:dPt>
          <c:dPt>
            <c:idx val="1"/>
            <c:invertIfNegative val="0"/>
            <c:bubble3D val="0"/>
            <c:spPr>
              <a:gradFill flip="none" rotWithShape="1">
                <a:gsLst>
                  <a:gs pos="20000">
                    <a:srgbClr val="1F497D">
                      <a:lumMod val="50000"/>
                    </a:srgbClr>
                  </a:gs>
                  <a:gs pos="0">
                    <a:srgbClr val="1F497D">
                      <a:lumMod val="50000"/>
                    </a:srgbClr>
                  </a:gs>
                  <a:gs pos="41000">
                    <a:srgbClr val="1F497D">
                      <a:lumMod val="60000"/>
                      <a:lumOff val="40000"/>
                    </a:srgbClr>
                  </a:gs>
                  <a:gs pos="69000">
                    <a:srgbClr val="1F497D">
                      <a:lumMod val="75000"/>
                    </a:srgbClr>
                  </a:gs>
                  <a:gs pos="97000">
                    <a:srgbClr val="1F497D">
                      <a:lumMod val="50000"/>
                    </a:srgbClr>
                  </a:gs>
                </a:gsLst>
                <a:lin ang="10800000" scaled="1"/>
                <a:tileRect/>
              </a:gradFill>
            </c:spPr>
          </c:dPt>
          <c:dPt>
            <c:idx val="2"/>
            <c:invertIfNegative val="0"/>
            <c:bubble3D val="0"/>
            <c:spPr>
              <a:gradFill flip="none" rotWithShape="1">
                <a:gsLst>
                  <a:gs pos="0">
                    <a:srgbClr val="1F497D">
                      <a:lumMod val="50000"/>
                    </a:srgbClr>
                  </a:gs>
                  <a:gs pos="23000">
                    <a:srgbClr val="1F497D">
                      <a:lumMod val="75000"/>
                    </a:srgbClr>
                  </a:gs>
                  <a:gs pos="73000">
                    <a:srgbClr val="1F497D">
                      <a:lumMod val="75000"/>
                    </a:srgbClr>
                  </a:gs>
                  <a:gs pos="48000">
                    <a:srgbClr val="1F497D">
                      <a:lumMod val="60000"/>
                      <a:lumOff val="40000"/>
                    </a:srgbClr>
                  </a:gs>
                  <a:gs pos="97000">
                    <a:srgbClr val="1F497D">
                      <a:lumMod val="50000"/>
                    </a:srgbClr>
                  </a:gs>
                </a:gsLst>
                <a:lin ang="10800000" scaled="1"/>
                <a:tileRect/>
              </a:gradFill>
            </c:spPr>
          </c:dPt>
          <c:dLbls>
            <c:spPr>
              <a:noFill/>
              <a:ln w="23372">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Sheet2!$B$2:$D$2</c:f>
              <c:strCache>
                <c:ptCount val="3"/>
                <c:pt idx="0">
                  <c:v>农林类</c:v>
                </c:pt>
                <c:pt idx="1">
                  <c:v>工程类</c:v>
                </c:pt>
                <c:pt idx="2">
                  <c:v>信息类</c:v>
                </c:pt>
              </c:strCache>
            </c:strRef>
          </c:cat>
          <c:val>
            <c:numRef>
              <c:f>Sheet2!$B$3:$D$3</c:f>
              <c:numCache>
                <c:formatCode>General</c:formatCode>
                <c:ptCount val="3"/>
                <c:pt idx="0">
                  <c:v>1358</c:v>
                </c:pt>
                <c:pt idx="1">
                  <c:v>1054</c:v>
                </c:pt>
                <c:pt idx="2">
                  <c:v>179</c:v>
                </c:pt>
              </c:numCache>
            </c:numRef>
          </c:val>
        </c:ser>
        <c:ser>
          <c:idx val="1"/>
          <c:order val="1"/>
          <c:tx>
            <c:strRef>
              <c:f>Sheet2!$A$4</c:f>
              <c:strCache>
                <c:ptCount val="1"/>
                <c:pt idx="0">
                  <c:v>就业总数</c:v>
                </c:pt>
              </c:strCache>
            </c:strRef>
          </c:tx>
          <c:spPr>
            <a:gradFill flip="none" rotWithShape="1">
              <a:gsLst>
                <a:gs pos="0">
                  <a:srgbClr val="F79646">
                    <a:lumMod val="50000"/>
                  </a:srgbClr>
                </a:gs>
                <a:gs pos="23000">
                  <a:srgbClr val="F79646">
                    <a:lumMod val="75000"/>
                  </a:srgbClr>
                </a:gs>
                <a:gs pos="46000">
                  <a:srgbClr val="F79646">
                    <a:lumMod val="60000"/>
                    <a:lumOff val="40000"/>
                  </a:srgbClr>
                </a:gs>
                <a:gs pos="74000">
                  <a:srgbClr val="F79646">
                    <a:lumMod val="75000"/>
                  </a:srgbClr>
                </a:gs>
                <a:gs pos="97000">
                  <a:srgbClr val="F79646">
                    <a:lumMod val="50000"/>
                  </a:srgbClr>
                </a:gs>
              </a:gsLst>
              <a:lin ang="10800000" scaled="1"/>
              <a:tileRect/>
            </a:gradFill>
          </c:spPr>
          <c:invertIfNegative val="0"/>
          <c:dLbls>
            <c:spPr>
              <a:noFill/>
              <a:ln w="23372">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Sheet2!$B$2:$D$2</c:f>
              <c:strCache>
                <c:ptCount val="3"/>
                <c:pt idx="0">
                  <c:v>农林类</c:v>
                </c:pt>
                <c:pt idx="1">
                  <c:v>工程类</c:v>
                </c:pt>
                <c:pt idx="2">
                  <c:v>信息类</c:v>
                </c:pt>
              </c:strCache>
            </c:strRef>
          </c:cat>
          <c:val>
            <c:numRef>
              <c:f>Sheet2!$B$4:$D$4</c:f>
              <c:numCache>
                <c:formatCode>General</c:formatCode>
                <c:ptCount val="3"/>
                <c:pt idx="0">
                  <c:v>1305</c:v>
                </c:pt>
                <c:pt idx="1">
                  <c:v>1009</c:v>
                </c:pt>
                <c:pt idx="2">
                  <c:v>175</c:v>
                </c:pt>
              </c:numCache>
            </c:numRef>
          </c:val>
        </c:ser>
        <c:ser>
          <c:idx val="2"/>
          <c:order val="2"/>
          <c:tx>
            <c:strRef>
              <c:f>Sheet2!$A$5</c:f>
              <c:strCache>
                <c:ptCount val="1"/>
                <c:pt idx="0">
                  <c:v>男生就业数</c:v>
                </c:pt>
              </c:strCache>
            </c:strRef>
          </c:tx>
          <c:spPr>
            <a:gradFill flip="none" rotWithShape="1">
              <a:gsLst>
                <a:gs pos="0">
                  <a:srgbClr val="4BACC6">
                    <a:lumMod val="50000"/>
                  </a:srgbClr>
                </a:gs>
                <a:gs pos="23000">
                  <a:srgbClr val="4BACC6">
                    <a:lumMod val="75000"/>
                  </a:srgbClr>
                </a:gs>
                <a:gs pos="46000">
                  <a:srgbClr val="4BACC6">
                    <a:lumMod val="60000"/>
                    <a:lumOff val="40000"/>
                  </a:srgbClr>
                </a:gs>
                <a:gs pos="74000">
                  <a:srgbClr val="4BACC6">
                    <a:lumMod val="75000"/>
                  </a:srgbClr>
                </a:gs>
                <a:gs pos="97000">
                  <a:srgbClr val="4BACC6">
                    <a:lumMod val="50000"/>
                  </a:srgbClr>
                </a:gs>
              </a:gsLst>
              <a:lin ang="10800000" scaled="1"/>
              <a:tileRect/>
            </a:gradFill>
          </c:spPr>
          <c:invertIfNegative val="0"/>
          <c:dLbls>
            <c:spPr>
              <a:noFill/>
              <a:ln w="23372">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Sheet2!$B$2:$D$2</c:f>
              <c:strCache>
                <c:ptCount val="3"/>
                <c:pt idx="0">
                  <c:v>农林类</c:v>
                </c:pt>
                <c:pt idx="1">
                  <c:v>工程类</c:v>
                </c:pt>
                <c:pt idx="2">
                  <c:v>信息类</c:v>
                </c:pt>
              </c:strCache>
            </c:strRef>
          </c:cat>
          <c:val>
            <c:numRef>
              <c:f>Sheet2!$B$5:$D$5</c:f>
              <c:numCache>
                <c:formatCode>General</c:formatCode>
                <c:ptCount val="3"/>
                <c:pt idx="0">
                  <c:v>713</c:v>
                </c:pt>
                <c:pt idx="1">
                  <c:v>554</c:v>
                </c:pt>
                <c:pt idx="2">
                  <c:v>72</c:v>
                </c:pt>
              </c:numCache>
            </c:numRef>
          </c:val>
        </c:ser>
        <c:ser>
          <c:idx val="3"/>
          <c:order val="3"/>
          <c:tx>
            <c:strRef>
              <c:f>Sheet2!$A$6</c:f>
              <c:strCache>
                <c:ptCount val="1"/>
                <c:pt idx="0">
                  <c:v>女生就业数</c:v>
                </c:pt>
              </c:strCache>
            </c:strRef>
          </c:tx>
          <c:spPr>
            <a:gradFill>
              <a:gsLst>
                <a:gs pos="0">
                  <a:srgbClr val="C0504D">
                    <a:lumMod val="50000"/>
                  </a:srgbClr>
                </a:gs>
                <a:gs pos="23000">
                  <a:srgbClr val="C0504D">
                    <a:lumMod val="75000"/>
                  </a:srgbClr>
                </a:gs>
                <a:gs pos="46000">
                  <a:srgbClr val="C0504D">
                    <a:lumMod val="60000"/>
                    <a:lumOff val="40000"/>
                  </a:srgbClr>
                </a:gs>
                <a:gs pos="74000">
                  <a:srgbClr val="C0504D">
                    <a:lumMod val="75000"/>
                  </a:srgbClr>
                </a:gs>
                <a:gs pos="97000">
                  <a:srgbClr val="C0504D">
                    <a:lumMod val="50000"/>
                  </a:srgbClr>
                </a:gs>
              </a:gsLst>
              <a:lin ang="10800000" scaled="1"/>
            </a:gradFill>
          </c:spPr>
          <c:invertIfNegative val="0"/>
          <c:dLbls>
            <c:spPr>
              <a:noFill/>
              <a:ln w="23372">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Sheet2!$B$2:$D$2</c:f>
              <c:strCache>
                <c:ptCount val="3"/>
                <c:pt idx="0">
                  <c:v>农林类</c:v>
                </c:pt>
                <c:pt idx="1">
                  <c:v>工程类</c:v>
                </c:pt>
                <c:pt idx="2">
                  <c:v>信息类</c:v>
                </c:pt>
              </c:strCache>
            </c:strRef>
          </c:cat>
          <c:val>
            <c:numRef>
              <c:f>Sheet2!$B$6:$D$6</c:f>
              <c:numCache>
                <c:formatCode>General</c:formatCode>
                <c:ptCount val="3"/>
                <c:pt idx="0">
                  <c:v>592</c:v>
                </c:pt>
                <c:pt idx="1">
                  <c:v>198</c:v>
                </c:pt>
                <c:pt idx="2">
                  <c:v>103</c:v>
                </c:pt>
              </c:numCache>
            </c:numRef>
          </c:val>
        </c:ser>
        <c:dLbls>
          <c:showLegendKey val="0"/>
          <c:showVal val="1"/>
          <c:showCatName val="0"/>
          <c:showSerName val="0"/>
          <c:showPercent val="0"/>
          <c:showBubbleSize val="0"/>
        </c:dLbls>
        <c:gapWidth val="150"/>
        <c:overlap val="-10"/>
        <c:axId val="402304384"/>
        <c:axId val="402306176"/>
      </c:barChart>
      <c:catAx>
        <c:axId val="402304384"/>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02306176"/>
        <c:crosses val="autoZero"/>
        <c:auto val="1"/>
        <c:lblAlgn val="ctr"/>
        <c:lblOffset val="100"/>
        <c:noMultiLvlLbl val="0"/>
      </c:catAx>
      <c:valAx>
        <c:axId val="402306176"/>
        <c:scaling>
          <c:orientation val="minMax"/>
        </c:scaling>
        <c:delete val="1"/>
        <c:axPos val="l"/>
        <c:numFmt formatCode="General" sourceLinked="1"/>
        <c:majorTickMark val="out"/>
        <c:minorTickMark val="none"/>
        <c:tickLblPos val="none"/>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02304384"/>
        <c:crosses val="autoZero"/>
        <c:crossBetween val="between"/>
      </c:valAx>
      <c:spPr>
        <a:solidFill>
          <a:schemeClr val="bg1"/>
        </a:solidFill>
        <a:ln>
          <a:noFill/>
        </a:ln>
        <a:effectLst/>
      </c:spPr>
    </c:plotArea>
    <c:legend>
      <c:legendPos val="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系列 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Sheet1!$A$2:$A$8</c:f>
              <c:strCache>
                <c:ptCount val="7"/>
                <c:pt idx="0">
                  <c:v>总计</c:v>
                </c:pt>
                <c:pt idx="1">
                  <c:v>民营企业</c:v>
                </c:pt>
                <c:pt idx="2">
                  <c:v>国有企业</c:v>
                </c:pt>
                <c:pt idx="3">
                  <c:v>合资企业</c:v>
                </c:pt>
                <c:pt idx="4">
                  <c:v>事业单位</c:v>
                </c:pt>
                <c:pt idx="5">
                  <c:v>军队</c:v>
                </c:pt>
                <c:pt idx="6">
                  <c:v>专升本</c:v>
                </c:pt>
              </c:strCache>
            </c:strRef>
          </c:cat>
          <c:val>
            <c:numRef>
              <c:f>Sheet1!$B$2:$B$8</c:f>
              <c:numCache>
                <c:formatCode>General</c:formatCode>
                <c:ptCount val="7"/>
                <c:pt idx="0">
                  <c:v>2489</c:v>
                </c:pt>
                <c:pt idx="1">
                  <c:v>2063</c:v>
                </c:pt>
                <c:pt idx="2">
                  <c:v>128</c:v>
                </c:pt>
                <c:pt idx="3">
                  <c:v>162</c:v>
                </c:pt>
                <c:pt idx="4">
                  <c:v>82</c:v>
                </c:pt>
                <c:pt idx="5">
                  <c:v>37</c:v>
                </c:pt>
                <c:pt idx="6">
                  <c:v>17</c:v>
                </c:pt>
              </c:numCache>
            </c:numRef>
          </c:val>
        </c:ser>
        <c:ser>
          <c:idx val="1"/>
          <c:order val="1"/>
          <c:tx>
            <c:strRef>
              <c:f>Sheet1!#REF!</c:f>
              <c:strCache>
                <c:ptCount val="1"/>
                <c:pt idx="0">
                  <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elete val="1"/>
          </c:dLbls>
          <c:cat>
            <c:strRef>
              <c:f>Sheet1!$A$2:$A$8</c:f>
              <c:strCache>
                <c:ptCount val="7"/>
                <c:pt idx="0">
                  <c:v>总计</c:v>
                </c:pt>
                <c:pt idx="1">
                  <c:v>民营企业</c:v>
                </c:pt>
                <c:pt idx="2">
                  <c:v>国有企业</c:v>
                </c:pt>
                <c:pt idx="3">
                  <c:v>合资企业</c:v>
                </c:pt>
                <c:pt idx="4">
                  <c:v>事业单位</c:v>
                </c:pt>
                <c:pt idx="5">
                  <c:v>军队</c:v>
                </c:pt>
                <c:pt idx="6">
                  <c:v>专升本</c:v>
                </c:pt>
              </c:strCache>
            </c:strRef>
          </c:cat>
          <c:val>
            <c:numRef>
              <c:f>Sheet1!#REF!</c:f>
              <c:numCache>
                <c:formatCode>General</c:formatCode>
                <c:ptCount val="1"/>
                <c:pt idx="0">
                  <c:v>1</c:v>
                </c:pt>
              </c:numCache>
            </c:numRef>
          </c:val>
        </c:ser>
        <c:ser>
          <c:idx val="2"/>
          <c:order val="2"/>
          <c:tx>
            <c:strRef>
              <c:f>Sheet1!#REF!</c:f>
              <c:strCache>
                <c:ptCount val="1"/>
                <c:pt idx="0">
                  <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elete val="1"/>
          </c:dLbls>
          <c:cat>
            <c:strRef>
              <c:f>Sheet1!$A$2:$A$8</c:f>
              <c:strCache>
                <c:ptCount val="7"/>
                <c:pt idx="0">
                  <c:v>总计</c:v>
                </c:pt>
                <c:pt idx="1">
                  <c:v>民营企业</c:v>
                </c:pt>
                <c:pt idx="2">
                  <c:v>国有企业</c:v>
                </c:pt>
                <c:pt idx="3">
                  <c:v>合资企业</c:v>
                </c:pt>
                <c:pt idx="4">
                  <c:v>事业单位</c:v>
                </c:pt>
                <c:pt idx="5">
                  <c:v>军队</c:v>
                </c:pt>
                <c:pt idx="6">
                  <c:v>专升本</c:v>
                </c:pt>
              </c:strCache>
            </c:strRef>
          </c:cat>
          <c:val>
            <c:numRef>
              <c:f>Sheet1!#REF!</c:f>
              <c:numCache>
                <c:formatCode>General</c:formatCode>
                <c:ptCount val="1"/>
                <c:pt idx="0">
                  <c:v>1</c:v>
                </c:pt>
              </c:numCache>
            </c:numRef>
          </c:val>
        </c:ser>
        <c:dLbls>
          <c:showLegendKey val="0"/>
          <c:showVal val="1"/>
          <c:showCatName val="0"/>
          <c:showSerName val="0"/>
          <c:showPercent val="0"/>
          <c:showBubbleSize val="0"/>
        </c:dLbls>
        <c:gapWidth val="50"/>
        <c:overlap val="10"/>
        <c:axId val="404011648"/>
        <c:axId val="404054400"/>
      </c:barChart>
      <c:catAx>
        <c:axId val="4040116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800" b="1" i="0" u="none" strike="noStrike" kern="1200" baseline="0">
                <a:solidFill>
                  <a:schemeClr val="tx1">
                    <a:lumMod val="65000"/>
                    <a:lumOff val="35000"/>
                  </a:schemeClr>
                </a:solidFill>
                <a:latin typeface="+mn-lt"/>
                <a:ea typeface="+mn-ea"/>
                <a:cs typeface="+mn-cs"/>
              </a:defRPr>
            </a:pPr>
          </a:p>
        </c:txPr>
        <c:crossAx val="404054400"/>
        <c:crosses val="autoZero"/>
        <c:auto val="1"/>
        <c:lblAlgn val="ctr"/>
        <c:lblOffset val="100"/>
        <c:noMultiLvlLbl val="1"/>
      </c:catAx>
      <c:valAx>
        <c:axId val="40405440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4011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系列 1</c:v>
                </c:pt>
              </c:strCache>
            </c:strRef>
          </c:tx>
          <c:spPr>
            <a:gradFill>
              <a:gsLst>
                <a:gs pos="0">
                  <a:schemeClr val="accent5">
                    <a:lumMod val="50000"/>
                  </a:schemeClr>
                </a:gs>
                <a:gs pos="79000">
                  <a:schemeClr val="accent5">
                    <a:lumMod val="75000"/>
                  </a:schemeClr>
                </a:gs>
                <a:gs pos="54000">
                  <a:schemeClr val="accent5">
                    <a:lumMod val="60000"/>
                    <a:lumOff val="40000"/>
                  </a:schemeClr>
                </a:gs>
                <a:gs pos="29000">
                  <a:schemeClr val="accent5">
                    <a:lumMod val="75000"/>
                  </a:schemeClr>
                </a:gs>
                <a:gs pos="100000">
                  <a:schemeClr val="accent5">
                    <a:lumMod val="50000"/>
                  </a:schemeClr>
                </a:gs>
              </a:gsLst>
              <a:lin ang="10800000" scaled="1"/>
            </a:gradFill>
            <a:ln>
              <a:noFill/>
            </a:ln>
            <a:effectLst/>
          </c:spPr>
          <c:invertIfNegative val="0"/>
          <c:dPt>
            <c:idx val="0"/>
            <c:invertIfNegative val="0"/>
            <c:bubble3D val="0"/>
          </c:dPt>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Sheet1!$A$2:$A$24</c:f>
              <c:strCache>
                <c:ptCount val="23"/>
                <c:pt idx="0">
                  <c:v>总计数</c:v>
                </c:pt>
                <c:pt idx="1">
                  <c:v>新疆维吾尔自治区</c:v>
                </c:pt>
                <c:pt idx="2">
                  <c:v>甘肃省</c:v>
                </c:pt>
                <c:pt idx="3">
                  <c:v>浙江省</c:v>
                </c:pt>
                <c:pt idx="4">
                  <c:v>陕西省</c:v>
                </c:pt>
                <c:pt idx="5">
                  <c:v>江苏省</c:v>
                </c:pt>
                <c:pt idx="6">
                  <c:v>北京市</c:v>
                </c:pt>
                <c:pt idx="7">
                  <c:v>山东省</c:v>
                </c:pt>
                <c:pt idx="8">
                  <c:v>宁夏回族自治区</c:v>
                </c:pt>
                <c:pt idx="9">
                  <c:v>青海省</c:v>
                </c:pt>
                <c:pt idx="10">
                  <c:v>河北省</c:v>
                </c:pt>
                <c:pt idx="11">
                  <c:v>上海市</c:v>
                </c:pt>
                <c:pt idx="12">
                  <c:v>安徽省</c:v>
                </c:pt>
                <c:pt idx="13">
                  <c:v>山西省</c:v>
                </c:pt>
                <c:pt idx="14">
                  <c:v>内蒙古自治区</c:v>
                </c:pt>
                <c:pt idx="15">
                  <c:v>河南省</c:v>
                </c:pt>
                <c:pt idx="16">
                  <c:v>四川省</c:v>
                </c:pt>
                <c:pt idx="17">
                  <c:v>广西壮族自治区</c:v>
                </c:pt>
                <c:pt idx="18">
                  <c:v>湖北省</c:v>
                </c:pt>
                <c:pt idx="19">
                  <c:v>西藏自治区</c:v>
                </c:pt>
                <c:pt idx="20">
                  <c:v>江西省</c:v>
                </c:pt>
                <c:pt idx="21">
                  <c:v>云南省</c:v>
                </c:pt>
                <c:pt idx="22">
                  <c:v>广东省</c:v>
                </c:pt>
              </c:strCache>
            </c:strRef>
          </c:cat>
          <c:val>
            <c:numRef>
              <c:f>Sheet1!$B$2:$B$24</c:f>
              <c:numCache>
                <c:formatCode>General</c:formatCode>
                <c:ptCount val="23"/>
                <c:pt idx="0">
                  <c:v>2489</c:v>
                </c:pt>
                <c:pt idx="1">
                  <c:v>430</c:v>
                </c:pt>
                <c:pt idx="2">
                  <c:v>416</c:v>
                </c:pt>
                <c:pt idx="3">
                  <c:v>257</c:v>
                </c:pt>
                <c:pt idx="4">
                  <c:v>239</c:v>
                </c:pt>
                <c:pt idx="5">
                  <c:v>215</c:v>
                </c:pt>
                <c:pt idx="6">
                  <c:v>190</c:v>
                </c:pt>
                <c:pt idx="7">
                  <c:v>177</c:v>
                </c:pt>
                <c:pt idx="8">
                  <c:v>107</c:v>
                </c:pt>
                <c:pt idx="9">
                  <c:v>103</c:v>
                </c:pt>
                <c:pt idx="10">
                  <c:v>60</c:v>
                </c:pt>
                <c:pt idx="11">
                  <c:v>54</c:v>
                </c:pt>
                <c:pt idx="12">
                  <c:v>54</c:v>
                </c:pt>
                <c:pt idx="13">
                  <c:v>53</c:v>
                </c:pt>
                <c:pt idx="14">
                  <c:v>39</c:v>
                </c:pt>
                <c:pt idx="15">
                  <c:v>37</c:v>
                </c:pt>
                <c:pt idx="16">
                  <c:v>13</c:v>
                </c:pt>
                <c:pt idx="17">
                  <c:v>12</c:v>
                </c:pt>
                <c:pt idx="18">
                  <c:v>8</c:v>
                </c:pt>
                <c:pt idx="19">
                  <c:v>8</c:v>
                </c:pt>
                <c:pt idx="20">
                  <c:v>7</c:v>
                </c:pt>
                <c:pt idx="21">
                  <c:v>6</c:v>
                </c:pt>
                <c:pt idx="22">
                  <c:v>4</c:v>
                </c:pt>
              </c:numCache>
            </c:numRef>
          </c:val>
        </c:ser>
        <c:dLbls>
          <c:showLegendKey val="0"/>
          <c:showVal val="1"/>
          <c:showCatName val="0"/>
          <c:showSerName val="0"/>
          <c:showPercent val="0"/>
          <c:showBubbleSize val="0"/>
        </c:dLbls>
        <c:gapWidth val="50"/>
        <c:overlap val="100"/>
        <c:axId val="404066304"/>
        <c:axId val="404068992"/>
      </c:barChart>
      <c:catAx>
        <c:axId val="404066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4068992"/>
        <c:crosses val="autoZero"/>
        <c:auto val="1"/>
        <c:lblAlgn val="ctr"/>
        <c:lblOffset val="100"/>
        <c:noMultiLvlLbl val="0"/>
      </c:catAx>
      <c:valAx>
        <c:axId val="404068992"/>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4066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zh-CN" altLang="en-US" sz="1200"/>
              <a:t>就业行业分布</a:t>
            </a:r>
            <a:endParaRPr lang="en-US" altLang="zh-CN" sz="1200"/>
          </a:p>
        </c:rich>
      </c:tx>
      <c:layout/>
      <c:overlay val="0"/>
      <c:spPr>
        <a:noFill/>
        <a:ln>
          <a:noFill/>
        </a:ln>
        <a:effectLst/>
      </c:spPr>
    </c:title>
    <c:autoTitleDeleted val="0"/>
    <c:plotArea>
      <c:layout/>
      <c:barChart>
        <c:barDir val="bar"/>
        <c:grouping val="clustered"/>
        <c:varyColors val="0"/>
        <c:ser>
          <c:idx val="0"/>
          <c:order val="0"/>
          <c:tx>
            <c:strRef>
              <c:f>Sheet1!$B$1</c:f>
              <c:strCache>
                <c:ptCount val="1"/>
                <c:pt idx="0">
                  <c:v>系列 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1"/>
            <c:invertIfNegative val="0"/>
            <c:bubble3D val="0"/>
            <c:spPr>
              <a:gradFill rotWithShape="1">
                <a:gsLst>
                  <a:gs pos="0">
                    <a:srgbClr val="FF0000"/>
                  </a:gs>
                  <a:gs pos="16000">
                    <a:srgbClr val="F96143"/>
                  </a:gs>
                  <a:gs pos="100000">
                    <a:srgbClr val="FF0000"/>
                  </a:gs>
                  <a:gs pos="79000">
                    <a:srgbClr val="F96143"/>
                  </a:gs>
                  <a:gs pos="48000">
                    <a:srgbClr val="FFEFEE"/>
                  </a:gs>
                  <a:gs pos="33000">
                    <a:srgbClr val="FFAFAF"/>
                  </a:gs>
                  <a:gs pos="65000">
                    <a:srgbClr val="FFAFAF"/>
                  </a:gs>
                </a:gsLst>
                <a:lin ang="54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invertIfNegative val="0"/>
            <c:bubble3D val="0"/>
            <c:spPr>
              <a:gradFill rotWithShape="1">
                <a:gsLst>
                  <a:gs pos="0">
                    <a:schemeClr val="accent3">
                      <a:lumMod val="50000"/>
                    </a:schemeClr>
                  </a:gs>
                  <a:gs pos="67000">
                    <a:schemeClr val="accent3">
                      <a:lumMod val="60000"/>
                      <a:lumOff val="40000"/>
                    </a:schemeClr>
                  </a:gs>
                  <a:gs pos="82000">
                    <a:schemeClr val="accent3">
                      <a:lumMod val="75000"/>
                    </a:schemeClr>
                  </a:gs>
                  <a:gs pos="51000">
                    <a:schemeClr val="accent3">
                      <a:lumMod val="40000"/>
                      <a:lumOff val="60000"/>
                    </a:schemeClr>
                  </a:gs>
                  <a:gs pos="33000">
                    <a:schemeClr val="accent3">
                      <a:lumMod val="60000"/>
                      <a:lumOff val="40000"/>
                    </a:schemeClr>
                  </a:gs>
                  <a:gs pos="18000">
                    <a:schemeClr val="accent3">
                      <a:lumMod val="75000"/>
                    </a:schemeClr>
                  </a:gs>
                  <a:gs pos="100000">
                    <a:schemeClr val="accent3">
                      <a:lumMod val="50000"/>
                    </a:schemeClr>
                  </a:gs>
                </a:gsLst>
                <a:lin ang="54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invertIfNegative val="0"/>
            <c:bubble3D val="0"/>
            <c:spPr>
              <a:gradFill rotWithShape="1">
                <a:gsLst>
                  <a:gs pos="0">
                    <a:srgbClr val="EDD615"/>
                  </a:gs>
                  <a:gs pos="83000">
                    <a:srgbClr val="FFFC0C"/>
                  </a:gs>
                  <a:gs pos="65000">
                    <a:srgbClr val="F9EE71"/>
                  </a:gs>
                  <a:gs pos="47000">
                    <a:srgbClr val="FAF9A5"/>
                  </a:gs>
                  <a:gs pos="31000">
                    <a:srgbClr val="F9EE71"/>
                  </a:gs>
                  <a:gs pos="15000">
                    <a:srgbClr val="FFFC0C"/>
                  </a:gs>
                  <a:gs pos="100000">
                    <a:srgbClr val="EDD615"/>
                  </a:gs>
                </a:gsLst>
                <a:lin ang="54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invertIfNegative val="0"/>
            <c:bubble3D val="0"/>
            <c:spPr>
              <a:gradFill rotWithShape="1">
                <a:gsLst>
                  <a:gs pos="67000">
                    <a:schemeClr val="accent2">
                      <a:lumMod val="60000"/>
                      <a:lumOff val="40000"/>
                    </a:schemeClr>
                  </a:gs>
                  <a:gs pos="36000">
                    <a:schemeClr val="accent2">
                      <a:lumMod val="75000"/>
                    </a:schemeClr>
                  </a:gs>
                  <a:gs pos="0">
                    <a:schemeClr val="accent2">
                      <a:lumMod val="50000"/>
                    </a:schemeClr>
                  </a:gs>
                  <a:gs pos="100000">
                    <a:schemeClr val="accent2">
                      <a:lumMod val="50000"/>
                    </a:schemeClr>
                  </a:gs>
                </a:gsLst>
                <a:lin ang="54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5"/>
            <c:invertIfNegative val="0"/>
            <c:bubble3D val="0"/>
            <c:spPr>
              <a:gradFill rotWithShape="1">
                <a:gsLst>
                  <a:gs pos="0">
                    <a:schemeClr val="bg2">
                      <a:lumMod val="10000"/>
                    </a:schemeClr>
                  </a:gs>
                  <a:gs pos="52000">
                    <a:schemeClr val="bg2">
                      <a:lumMod val="75000"/>
                    </a:schemeClr>
                  </a:gs>
                  <a:gs pos="36000">
                    <a:schemeClr val="bg2">
                      <a:lumMod val="50000"/>
                    </a:schemeClr>
                  </a:gs>
                  <a:gs pos="18000">
                    <a:schemeClr val="bg2">
                      <a:lumMod val="25000"/>
                    </a:schemeClr>
                  </a:gs>
                  <a:gs pos="82000">
                    <a:schemeClr val="bg2">
                      <a:lumMod val="25000"/>
                    </a:schemeClr>
                  </a:gs>
                  <a:gs pos="67000">
                    <a:schemeClr val="bg2">
                      <a:lumMod val="50000"/>
                    </a:schemeClr>
                  </a:gs>
                  <a:gs pos="100000">
                    <a:schemeClr val="bg2">
                      <a:lumMod val="10000"/>
                    </a:schemeClr>
                  </a:gs>
                </a:gsLst>
                <a:lin ang="5400000" scaled="0"/>
              </a:gradFill>
              <a:ln>
                <a:noFill/>
              </a:ln>
              <a:effectLst>
                <a:innerShdw blurRad="63500" dist="50800" dir="16200000">
                  <a:prstClr val="black">
                    <a:alpha val="50000"/>
                  </a:prstClr>
                </a:innerShdw>
              </a:effectLst>
              <a:scene3d>
                <a:camera prst="orthographicFront">
                  <a:rot lat="0" lon="0" rev="0"/>
                </a:camera>
                <a:lightRig rig="threePt" dir="t">
                  <a:rot lat="0" lon="0" rev="1200000"/>
                </a:lightRig>
              </a:scene3d>
              <a:sp3d>
                <a:bevelT w="63500" h="25400"/>
              </a:sp3d>
            </c:spPr>
          </c:dPt>
          <c:dPt>
            <c:idx val="6"/>
            <c:invertIfNegative val="0"/>
            <c:bubble3D val="0"/>
            <c:spPr>
              <a:gradFill rotWithShape="1">
                <a:gsLst>
                  <a:gs pos="0">
                    <a:schemeClr val="accent4">
                      <a:lumMod val="50000"/>
                    </a:schemeClr>
                  </a:gs>
                  <a:gs pos="68000">
                    <a:schemeClr val="accent4">
                      <a:lumMod val="60000"/>
                      <a:lumOff val="40000"/>
                    </a:schemeClr>
                  </a:gs>
                  <a:gs pos="36000">
                    <a:schemeClr val="accent4">
                      <a:lumMod val="75000"/>
                    </a:schemeClr>
                  </a:gs>
                  <a:gs pos="100000">
                    <a:schemeClr val="accent4">
                      <a:lumMod val="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7"/>
            <c:invertIfNegative val="0"/>
            <c:bubble3D val="0"/>
            <c:spPr>
              <a:gradFill rotWithShape="1">
                <a:gsLst>
                  <a:gs pos="0">
                    <a:schemeClr val="accent6">
                      <a:lumMod val="50000"/>
                    </a:schemeClr>
                  </a:gs>
                  <a:gs pos="79000">
                    <a:schemeClr val="accent6">
                      <a:lumMod val="75000"/>
                    </a:schemeClr>
                  </a:gs>
                  <a:gs pos="65000">
                    <a:schemeClr val="accent6">
                      <a:lumMod val="40000"/>
                      <a:lumOff val="60000"/>
                    </a:schemeClr>
                  </a:gs>
                  <a:gs pos="48000">
                    <a:schemeClr val="accent6">
                      <a:lumMod val="40000"/>
                      <a:lumOff val="60000"/>
                    </a:schemeClr>
                  </a:gs>
                  <a:gs pos="27000">
                    <a:schemeClr val="accent6">
                      <a:lumMod val="75000"/>
                    </a:schemeClr>
                  </a:gs>
                  <a:gs pos="100000">
                    <a:schemeClr val="accent6">
                      <a:lumMod val="75000"/>
                    </a:schemeClr>
                  </a:gs>
                </a:gsLst>
                <a:lin ang="54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8"/>
            <c:invertIfNegative val="0"/>
            <c:bubble3D val="0"/>
            <c:spPr>
              <a:gradFill rotWithShape="1">
                <a:gsLst>
                  <a:gs pos="0">
                    <a:schemeClr val="tx2">
                      <a:lumMod val="50000"/>
                    </a:schemeClr>
                  </a:gs>
                  <a:gs pos="84000">
                    <a:schemeClr val="tx2">
                      <a:lumMod val="60000"/>
                      <a:lumOff val="40000"/>
                    </a:schemeClr>
                  </a:gs>
                  <a:gs pos="68000">
                    <a:schemeClr val="tx2">
                      <a:lumMod val="40000"/>
                      <a:lumOff val="60000"/>
                    </a:schemeClr>
                  </a:gs>
                  <a:gs pos="48000">
                    <a:schemeClr val="tx2">
                      <a:lumMod val="60000"/>
                      <a:lumOff val="40000"/>
                    </a:schemeClr>
                  </a:gs>
                  <a:gs pos="29000">
                    <a:schemeClr val="tx2">
                      <a:lumMod val="75000"/>
                    </a:schemeClr>
                  </a:gs>
                  <a:gs pos="100000">
                    <a:schemeClr val="tx2">
                      <a:lumMod val="50000"/>
                    </a:schemeClr>
                  </a:gs>
                </a:gsLst>
                <a:lin ang="5400000" scaled="0"/>
              </a:gradFill>
              <a:ln>
                <a:noFill/>
              </a:ln>
              <a:effectLst>
                <a:outerShdw blurRad="50800" dist="38100" dir="2700000" algn="tl" rotWithShape="0">
                  <a:schemeClr val="bg2">
                    <a:lumMod val="25000"/>
                    <a:alpha val="0"/>
                  </a:schemeClr>
                </a:outerShdw>
              </a:effectLst>
              <a:scene3d>
                <a:camera prst="orthographicFront">
                  <a:rot lat="0" lon="0" rev="0"/>
                </a:camera>
                <a:lightRig rig="threePt" dir="t">
                  <a:rot lat="0" lon="0" rev="1200000"/>
                </a:lightRig>
              </a:scene3d>
              <a:sp3d>
                <a:bevelT w="63500" h="25400"/>
              </a:sp3d>
            </c:spPr>
          </c:dPt>
          <c:dLbls>
            <c:dLbl>
              <c:idx val="2"/>
              <c:layout>
                <c:manualLayout>
                  <c:x val="-0.00322320125159731"/>
                  <c:y val="-1.34951207563848e-1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0371517626152135"/>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241671652174473"/>
                  <c:y val="-6.74756037819241e-1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0514407782062325"/>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075263319357808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0662644442172016"/>
                  <c:y val="0.003680529996319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00867164331731261"/>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800" b="0" i="0" u="none" strike="noStrike" kern="1200" baseline="0">
                    <a:solidFill>
                      <a:schemeClr val="lt1">
                        <a:lumMod val="85000"/>
                      </a:schemeClr>
                    </a:solidFill>
                    <a:latin typeface="Times New Roman" panose="02020603050405020304" charset="0"/>
                    <a:ea typeface="+mn-ea"/>
                    <a:cs typeface="Times New Roman" panose="02020603050405020304" charset="0"/>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lt1">
                          <a:lumMod val="95000"/>
                          <a:alpha val="54000"/>
                        </a:schemeClr>
                      </a:solidFill>
                      <a:prstDash val="solid"/>
                      <a:round/>
                    </a:ln>
                    <a:effectLst/>
                  </c:spPr>
                </c15:leaderLines>
              </c:ext>
            </c:extLst>
          </c:dLbls>
          <c:cat>
            <c:strRef>
              <c:f>Sheet1!$A$2:$A$10</c:f>
              <c:strCache>
                <c:ptCount val="9"/>
                <c:pt idx="0">
                  <c:v>教育 计数</c:v>
                </c:pt>
                <c:pt idx="1">
                  <c:v>专升本 计数</c:v>
                </c:pt>
                <c:pt idx="2">
                  <c:v>军队 计数</c:v>
                </c:pt>
                <c:pt idx="3">
                  <c:v>电力、热力、燃气及水生产和供应业 计数</c:v>
                </c:pt>
                <c:pt idx="4">
                  <c:v>信息传输、软件和信息技术服务业 计数</c:v>
                </c:pt>
                <c:pt idx="5">
                  <c:v>交通运输、仓储和邮政业 计数</c:v>
                </c:pt>
                <c:pt idx="6">
                  <c:v>制作业 计数</c:v>
                </c:pt>
                <c:pt idx="7">
                  <c:v>农、林、牧、渔业 计数</c:v>
                </c:pt>
                <c:pt idx="8">
                  <c:v>总计</c:v>
                </c:pt>
              </c:strCache>
            </c:strRef>
          </c:cat>
          <c:val>
            <c:numRef>
              <c:f>Sheet1!$B$2:$B$10</c:f>
              <c:numCache>
                <c:formatCode>General</c:formatCode>
                <c:ptCount val="9"/>
                <c:pt idx="0">
                  <c:v>14</c:v>
                </c:pt>
                <c:pt idx="1">
                  <c:v>17</c:v>
                </c:pt>
                <c:pt idx="2">
                  <c:v>37</c:v>
                </c:pt>
                <c:pt idx="3">
                  <c:v>95</c:v>
                </c:pt>
                <c:pt idx="4">
                  <c:v>95</c:v>
                </c:pt>
                <c:pt idx="5">
                  <c:v>264</c:v>
                </c:pt>
                <c:pt idx="6">
                  <c:v>710</c:v>
                </c:pt>
                <c:pt idx="7">
                  <c:v>1250</c:v>
                </c:pt>
                <c:pt idx="8">
                  <c:v>2489</c:v>
                </c:pt>
              </c:numCache>
            </c:numRef>
          </c:val>
        </c:ser>
        <c:dLbls>
          <c:showLegendKey val="0"/>
          <c:showVal val="1"/>
          <c:showCatName val="0"/>
          <c:showSerName val="0"/>
          <c:showPercent val="0"/>
          <c:showBubbleSize val="0"/>
        </c:dLbls>
        <c:gapWidth val="60"/>
        <c:overlap val="10"/>
        <c:axId val="404139008"/>
        <c:axId val="404169856"/>
      </c:barChart>
      <c:catAx>
        <c:axId val="404139008"/>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lt1">
                    <a:lumMod val="85000"/>
                  </a:schemeClr>
                </a:solidFill>
                <a:latin typeface="+mn-lt"/>
                <a:ea typeface="+mn-ea"/>
                <a:cs typeface="+mn-cs"/>
              </a:defRPr>
            </a:pPr>
          </a:p>
        </c:txPr>
        <c:crossAx val="404169856"/>
        <c:crosses val="autoZero"/>
        <c:auto val="1"/>
        <c:lblAlgn val="ctr"/>
        <c:lblOffset val="100"/>
        <c:noMultiLvlLbl val="0"/>
      </c:catAx>
      <c:valAx>
        <c:axId val="404169856"/>
        <c:scaling>
          <c:orientation val="minMax"/>
        </c:scaling>
        <c:delete val="0"/>
        <c:axPos val="b"/>
        <c:majorGridlines>
          <c:spPr>
            <a:ln w="9525" cap="flat" cmpd="sng" algn="ctr">
              <a:solidFill>
                <a:schemeClr val="lt1">
                  <a:lumMod val="95000"/>
                  <a:alpha val="10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lt1">
                    <a:lumMod val="85000"/>
                  </a:schemeClr>
                </a:solidFill>
                <a:latin typeface="+mn-lt"/>
                <a:ea typeface="+mn-ea"/>
                <a:cs typeface="+mn-cs"/>
              </a:defRPr>
            </a:pPr>
          </a:p>
        </c:txPr>
        <c:crossAx val="40413900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w="9525" cap="flat" cmpd="sng" algn="ctr">
      <a:noFill/>
      <a:prstDash val="solid"/>
      <a:round/>
    </a:ln>
    <a:effectLst/>
  </c:spPr>
  <c:txPr>
    <a:bodyPr/>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200" b="1" i="0" u="none" strike="noStrike" kern="1200" spc="0" baseline="0">
                <a:solidFill>
                  <a:schemeClr val="tx1">
                    <a:lumMod val="65000"/>
                    <a:lumOff val="35000"/>
                  </a:schemeClr>
                </a:solidFill>
                <a:latin typeface="+mn-lt"/>
                <a:ea typeface="+mn-ea"/>
                <a:cs typeface="+mn-cs"/>
              </a:defRPr>
            </a:pPr>
            <a:r>
              <a:rPr lang="zh-CN" sz="1200" b="1"/>
              <a:t>不同性别就业率</a:t>
            </a:r>
            <a:endParaRPr lang="zh-CN" sz="1200" b="1"/>
          </a:p>
        </c:rich>
      </c:tx>
      <c:layout/>
      <c:overlay val="0"/>
      <c:spPr>
        <a:noFill/>
        <a:ln>
          <a:noFill/>
        </a:ln>
        <a:effectLst/>
      </c:spPr>
    </c:title>
    <c:autoTitleDeleted val="0"/>
    <c:plotArea>
      <c:layout/>
      <c:barChart>
        <c:barDir val="col"/>
        <c:grouping val="clustered"/>
        <c:varyColors val="0"/>
        <c:ser>
          <c:idx val="0"/>
          <c:order val="0"/>
          <c:tx>
            <c:strRef>
              <c:f>Sheet10!$G$2</c:f>
              <c:strCache>
                <c:ptCount val="1"/>
                <c:pt idx="0">
                  <c:v>总就业率</c:v>
                </c:pt>
              </c:strCache>
            </c:strRef>
          </c:tx>
          <c:spPr>
            <a:gradFill flip="none" rotWithShape="1">
              <a:gsLst>
                <a:gs pos="0">
                  <a:schemeClr val="accent3">
                    <a:lumMod val="50000"/>
                  </a:schemeClr>
                </a:gs>
                <a:gs pos="75500">
                  <a:schemeClr val="accent3">
                    <a:lumMod val="75000"/>
                  </a:schemeClr>
                </a:gs>
                <a:gs pos="51000">
                  <a:schemeClr val="accent3">
                    <a:lumMod val="60000"/>
                    <a:lumOff val="40000"/>
                  </a:schemeClr>
                </a:gs>
                <a:gs pos="28000">
                  <a:schemeClr val="accent3">
                    <a:lumMod val="75000"/>
                  </a:schemeClr>
                </a:gs>
                <a:gs pos="100000">
                  <a:schemeClr val="accent3">
                    <a:lumMod val="50000"/>
                  </a:schemeClr>
                </a:gs>
              </a:gsLst>
              <a:lin ang="10800000" scaled="1"/>
              <a:tileRect/>
            </a:gradFill>
            <a:ln>
              <a:noFill/>
            </a:ln>
            <a:effectLst/>
          </c:spPr>
          <c:invertIfNegative val="0"/>
          <c:dPt>
            <c:idx val="0"/>
            <c:invertIfNegative val="0"/>
            <c:bubble3D val="0"/>
          </c:dPt>
          <c:dPt>
            <c:idx val="1"/>
            <c:invertIfNegative val="0"/>
            <c:bubble3D val="0"/>
          </c:dPt>
          <c:dPt>
            <c:idx val="2"/>
            <c:invertIfNegative val="0"/>
            <c:bubble3D val="0"/>
          </c:dPt>
          <c:dPt>
            <c:idx val="3"/>
            <c:invertIfNegative val="0"/>
            <c:bubble3D val="0"/>
          </c:dPt>
          <c:dLbls>
            <c:spPr>
              <a:noFill/>
              <a:ln>
                <a:noFill/>
              </a:ln>
              <a:effectLst/>
            </c:spPr>
            <c:txPr>
              <a:bodyPr rot="0" spcFirstLastPara="1" vertOverflow="ellipsis" vert="horz" wrap="square" lIns="38100" tIns="19050" rIns="38100" bIns="19050" anchor="ctr" anchorCtr="1">
                <a:spAutoFit/>
              </a:bodyPr>
              <a:lstStyle/>
              <a:p>
                <a:pPr>
                  <a:defRPr lang="zh-CN" sz="8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Sheet10!$H$1:$K$1</c:f>
              <c:strCache>
                <c:ptCount val="4"/>
                <c:pt idx="0">
                  <c:v>农林类</c:v>
                </c:pt>
                <c:pt idx="1">
                  <c:v>工程类</c:v>
                </c:pt>
                <c:pt idx="2">
                  <c:v>信息类</c:v>
                </c:pt>
                <c:pt idx="3">
                  <c:v>平均</c:v>
                </c:pt>
              </c:strCache>
            </c:strRef>
          </c:cat>
          <c:val>
            <c:numRef>
              <c:f>Sheet10!$H$2:$K$2</c:f>
              <c:numCache>
                <c:formatCode>0.00%</c:formatCode>
                <c:ptCount val="4"/>
                <c:pt idx="0">
                  <c:v>0.960972017673049</c:v>
                </c:pt>
                <c:pt idx="1">
                  <c:v>0.9573055028463</c:v>
                </c:pt>
                <c:pt idx="2">
                  <c:v>0.977653631284916</c:v>
                </c:pt>
                <c:pt idx="3">
                  <c:v>0.960632960247009</c:v>
                </c:pt>
              </c:numCache>
            </c:numRef>
          </c:val>
        </c:ser>
        <c:ser>
          <c:idx val="1"/>
          <c:order val="1"/>
          <c:tx>
            <c:strRef>
              <c:f>Sheet10!$G$3</c:f>
              <c:strCache>
                <c:ptCount val="1"/>
                <c:pt idx="0">
                  <c:v>男生就业率</c:v>
                </c:pt>
              </c:strCache>
            </c:strRef>
          </c:tx>
          <c:spPr>
            <a:gradFill>
              <a:gsLst>
                <a:gs pos="0">
                  <a:schemeClr val="accent2">
                    <a:lumMod val="50000"/>
                  </a:schemeClr>
                </a:gs>
                <a:gs pos="24000">
                  <a:schemeClr val="accent2">
                    <a:lumMod val="75000"/>
                  </a:schemeClr>
                </a:gs>
                <a:gs pos="76000">
                  <a:schemeClr val="accent2">
                    <a:lumMod val="75000"/>
                  </a:schemeClr>
                </a:gs>
                <a:gs pos="51000">
                  <a:schemeClr val="accent2">
                    <a:lumMod val="60000"/>
                    <a:lumOff val="40000"/>
                  </a:schemeClr>
                </a:gs>
                <a:gs pos="100000">
                  <a:schemeClr val="accent2">
                    <a:lumMod val="50000"/>
                  </a:schemeClr>
                </a:gs>
              </a:gsLst>
              <a:lin ang="10800000" scaled="1"/>
            </a:gradFill>
            <a:ln>
              <a:noFill/>
            </a:ln>
            <a:effectLst/>
          </c:spPr>
          <c:invertIfNegative val="0"/>
          <c:dLbls>
            <c:dLbl>
              <c:idx val="2"/>
              <c:layout>
                <c:manualLayout>
                  <c:x val="-0.00220896841175171"/>
                  <c:y val="-0.026480045394363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8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Sheet10!$H$1:$K$1</c:f>
              <c:strCache>
                <c:ptCount val="4"/>
                <c:pt idx="0">
                  <c:v>农林类</c:v>
                </c:pt>
                <c:pt idx="1">
                  <c:v>工程类</c:v>
                </c:pt>
                <c:pt idx="2">
                  <c:v>信息类</c:v>
                </c:pt>
                <c:pt idx="3">
                  <c:v>平均</c:v>
                </c:pt>
              </c:strCache>
            </c:strRef>
          </c:cat>
          <c:val>
            <c:numRef>
              <c:f>Sheet10!$H$3:$K$3</c:f>
              <c:numCache>
                <c:formatCode>0.00%</c:formatCode>
                <c:ptCount val="4"/>
                <c:pt idx="0">
                  <c:v>0.946879150066401</c:v>
                </c:pt>
                <c:pt idx="1">
                  <c:v>0.951760104302477</c:v>
                </c:pt>
                <c:pt idx="2">
                  <c:v>0.986301369863014</c:v>
                </c:pt>
                <c:pt idx="3">
                  <c:v>0.951035781544256</c:v>
                </c:pt>
              </c:numCache>
            </c:numRef>
          </c:val>
        </c:ser>
        <c:ser>
          <c:idx val="2"/>
          <c:order val="2"/>
          <c:tx>
            <c:strRef>
              <c:f>Sheet10!$G$4</c:f>
              <c:strCache>
                <c:ptCount val="1"/>
                <c:pt idx="0">
                  <c:v>女生就业率</c:v>
                </c:pt>
              </c:strCache>
            </c:strRef>
          </c:tx>
          <c:spPr>
            <a:gradFill>
              <a:gsLst>
                <a:gs pos="0">
                  <a:schemeClr val="tx2">
                    <a:lumMod val="50000"/>
                  </a:schemeClr>
                </a:gs>
                <a:gs pos="24000">
                  <a:schemeClr val="tx2">
                    <a:lumMod val="75000"/>
                  </a:schemeClr>
                </a:gs>
                <a:gs pos="76000">
                  <a:schemeClr val="tx2">
                    <a:lumMod val="75000"/>
                  </a:schemeClr>
                </a:gs>
                <a:gs pos="51000">
                  <a:schemeClr val="tx2">
                    <a:lumMod val="60000"/>
                    <a:lumOff val="40000"/>
                  </a:schemeClr>
                </a:gs>
                <a:gs pos="100000">
                  <a:schemeClr val="tx2">
                    <a:lumMod val="50000"/>
                  </a:schemeClr>
                </a:gs>
              </a:gsLst>
              <a:lin ang="10800000" scaled="1"/>
            </a:gradFill>
            <a:ln>
              <a:noFill/>
            </a:ln>
            <a:effectLst/>
          </c:spPr>
          <c:invertIfNegative val="0"/>
          <c:dPt>
            <c:idx val="0"/>
            <c:invertIfNegative val="0"/>
            <c:bubble3D val="0"/>
          </c:dPt>
          <c:dPt>
            <c:idx val="1"/>
            <c:invertIfNegative val="0"/>
            <c:bubble3D val="0"/>
          </c:dPt>
          <c:dPt>
            <c:idx val="2"/>
            <c:invertIfNegative val="0"/>
            <c:bubble3D val="0"/>
          </c:dPt>
          <c:dPt>
            <c:idx val="3"/>
            <c:invertIfNegative val="0"/>
            <c:bubble3D val="0"/>
          </c:dPt>
          <c:dLbls>
            <c:spPr>
              <a:noFill/>
              <a:ln>
                <a:noFill/>
              </a:ln>
              <a:effectLst/>
            </c:spPr>
            <c:txPr>
              <a:bodyPr rot="0" spcFirstLastPara="1" vertOverflow="ellipsis" vert="horz" wrap="square" lIns="38100" tIns="19050" rIns="38100" bIns="19050" anchor="ctr" anchorCtr="1">
                <a:spAutoFit/>
              </a:bodyPr>
              <a:lstStyle/>
              <a:p>
                <a:pPr>
                  <a:defRPr lang="zh-CN" sz="8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Sheet10!$H$1:$K$1</c:f>
              <c:strCache>
                <c:ptCount val="4"/>
                <c:pt idx="0">
                  <c:v>农林类</c:v>
                </c:pt>
                <c:pt idx="1">
                  <c:v>工程类</c:v>
                </c:pt>
                <c:pt idx="2">
                  <c:v>信息类</c:v>
                </c:pt>
                <c:pt idx="3">
                  <c:v>平均</c:v>
                </c:pt>
              </c:strCache>
            </c:strRef>
          </c:cat>
          <c:val>
            <c:numRef>
              <c:f>Sheet10!$H$4:$K$4</c:f>
              <c:numCache>
                <c:formatCode>0.00%</c:formatCode>
                <c:ptCount val="4"/>
                <c:pt idx="0">
                  <c:v>0.978512396694215</c:v>
                </c:pt>
                <c:pt idx="1">
                  <c:v>0.97212543554007</c:v>
                </c:pt>
                <c:pt idx="2">
                  <c:v>0.971698113207547</c:v>
                </c:pt>
                <c:pt idx="3">
                  <c:v>0.975951903807615</c:v>
                </c:pt>
              </c:numCache>
            </c:numRef>
          </c:val>
        </c:ser>
        <c:dLbls>
          <c:showLegendKey val="0"/>
          <c:showVal val="1"/>
          <c:showCatName val="0"/>
          <c:showSerName val="0"/>
          <c:showPercent val="0"/>
          <c:showBubbleSize val="0"/>
        </c:dLbls>
        <c:gapWidth val="100"/>
        <c:overlap val="-10"/>
        <c:axId val="404304256"/>
        <c:axId val="404305792"/>
      </c:barChart>
      <c:catAx>
        <c:axId val="40430425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4305792"/>
        <c:crosses val="autoZero"/>
        <c:auto val="1"/>
        <c:lblAlgn val="ctr"/>
        <c:lblOffset val="100"/>
        <c:noMultiLvlLbl val="0"/>
      </c:catAx>
      <c:valAx>
        <c:axId val="404305792"/>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t>就业率</a:t>
                </a:r>
                <a:endParaRPr lang="zh-CN"/>
              </a:p>
            </c:rich>
          </c:tx>
          <c:layout/>
          <c:overlay val="0"/>
          <c:spPr>
            <a:noFill/>
            <a:ln>
              <a:noFill/>
            </a:ln>
            <a:effectLst/>
          </c:spPr>
        </c:title>
        <c:numFmt formatCode="0.00%"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4304256"/>
        <c:crosses val="autoZero"/>
        <c:crossBetween val="between"/>
      </c:valAx>
      <c:dTable>
        <c:showHorzBorder val="1"/>
        <c:showVertBorder val="1"/>
        <c:showOutline val="1"/>
        <c:showKeys val="1"/>
        <c:spPr>
          <a:noFill/>
          <a:ln w="9525" cap="flat" cmpd="sng" algn="ctr">
            <a:solidFill>
              <a:schemeClr val="tx1">
                <a:lumMod val="15000"/>
                <a:lumOff val="85000"/>
              </a:schemeClr>
            </a:solidFill>
            <a:prstDash val="solid"/>
            <a:round/>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200" b="1" i="0" u="none" strike="noStrike" kern="1200" baseline="0">
                <a:solidFill>
                  <a:schemeClr val="dk1">
                    <a:lumMod val="75000"/>
                    <a:lumOff val="25000"/>
                  </a:schemeClr>
                </a:solidFill>
                <a:latin typeface="+mn-lt"/>
                <a:ea typeface="+mn-ea"/>
                <a:cs typeface="+mn-cs"/>
              </a:defRPr>
            </a:pPr>
            <a:r>
              <a:rPr lang="zh-CN" sz="1200"/>
              <a:t>不同民族毕业生就业率</a:t>
            </a:r>
            <a:endParaRPr lang="zh-CN" sz="1200"/>
          </a:p>
        </c:rich>
      </c:tx>
      <c:layout/>
      <c:overlay val="0"/>
      <c:spPr>
        <a:noFill/>
        <a:ln>
          <a:noFill/>
        </a:ln>
        <a:effectLst/>
      </c:spPr>
    </c:title>
    <c:autoTitleDeleted val="0"/>
    <c:plotArea>
      <c:layout/>
      <c:barChart>
        <c:barDir val="col"/>
        <c:grouping val="clustered"/>
        <c:varyColors val="0"/>
        <c:ser>
          <c:idx val="0"/>
          <c:order val="0"/>
          <c:tx>
            <c:strRef>
              <c:f>Sheet11!$A$9</c:f>
              <c:strCache>
                <c:ptCount val="1"/>
                <c:pt idx="0">
                  <c:v>就业率</c:v>
                </c:pt>
              </c:strCache>
            </c:strRef>
          </c:tx>
          <c:spPr>
            <a:solidFill>
              <a:schemeClr val="accent1">
                <a:alpha val="85000"/>
              </a:schemeClr>
            </a:solidFill>
            <a:ln w="9525" cap="flat" cmpd="sng" algn="ctr">
              <a:solidFill>
                <a:schemeClr val="lt1">
                  <a:alpha val="50000"/>
                </a:schemeClr>
              </a:solidFill>
              <a:round/>
            </a:ln>
            <a:effectLst/>
          </c:spPr>
          <c:invertIfNegative val="0"/>
          <c:dPt>
            <c:idx val="0"/>
            <c:invertIfNegative val="0"/>
            <c:bubble3D val="0"/>
            <c:spPr>
              <a:gradFill flip="none" rotWithShape="1">
                <a:gsLst>
                  <a:gs pos="0">
                    <a:schemeClr val="tx2">
                      <a:lumMod val="50000"/>
                    </a:schemeClr>
                  </a:gs>
                  <a:gs pos="24000">
                    <a:schemeClr val="tx2">
                      <a:lumMod val="75000"/>
                    </a:schemeClr>
                  </a:gs>
                  <a:gs pos="76000">
                    <a:schemeClr val="tx2">
                      <a:lumMod val="75000"/>
                    </a:schemeClr>
                  </a:gs>
                  <a:gs pos="51000">
                    <a:schemeClr val="tx2">
                      <a:lumMod val="60000"/>
                      <a:lumOff val="40000"/>
                    </a:schemeClr>
                  </a:gs>
                  <a:gs pos="100000">
                    <a:schemeClr val="tx2">
                      <a:lumMod val="50000"/>
                    </a:schemeClr>
                  </a:gs>
                </a:gsLst>
                <a:lin ang="10800000" scaled="1"/>
                <a:tileRect/>
              </a:gradFill>
              <a:ln w="9525" cap="flat" cmpd="sng" algn="ctr">
                <a:solidFill>
                  <a:schemeClr val="lt1">
                    <a:alpha val="50000"/>
                  </a:schemeClr>
                </a:solidFill>
                <a:round/>
              </a:ln>
              <a:effectLst/>
            </c:spPr>
          </c:dPt>
          <c:dPt>
            <c:idx val="1"/>
            <c:invertIfNegative val="0"/>
            <c:bubble3D val="0"/>
            <c:spPr>
              <a:gradFill>
                <a:gsLst>
                  <a:gs pos="0">
                    <a:schemeClr val="tx2">
                      <a:lumMod val="50000"/>
                    </a:schemeClr>
                  </a:gs>
                  <a:gs pos="24000">
                    <a:schemeClr val="tx2">
                      <a:lumMod val="75000"/>
                    </a:schemeClr>
                  </a:gs>
                  <a:gs pos="76000">
                    <a:schemeClr val="tx2">
                      <a:lumMod val="75000"/>
                    </a:schemeClr>
                  </a:gs>
                  <a:gs pos="51000">
                    <a:schemeClr val="tx2">
                      <a:lumMod val="60000"/>
                      <a:lumOff val="40000"/>
                    </a:schemeClr>
                  </a:gs>
                  <a:gs pos="100000">
                    <a:schemeClr val="tx2">
                      <a:lumMod val="50000"/>
                    </a:schemeClr>
                  </a:gs>
                </a:gsLst>
                <a:lin ang="10800000" scaled="1"/>
              </a:gradFill>
              <a:ln w="9525" cap="flat" cmpd="sng" algn="ctr">
                <a:solidFill>
                  <a:schemeClr val="lt1">
                    <a:alpha val="50000"/>
                  </a:schemeClr>
                </a:solidFill>
                <a:round/>
              </a:ln>
              <a:effectLst/>
            </c:spPr>
          </c:dPt>
          <c:dPt>
            <c:idx val="2"/>
            <c:invertIfNegative val="0"/>
            <c:bubble3D val="0"/>
            <c:spPr>
              <a:gradFill>
                <a:gsLst>
                  <a:gs pos="0">
                    <a:schemeClr val="tx2">
                      <a:lumMod val="50000"/>
                    </a:schemeClr>
                  </a:gs>
                  <a:gs pos="24000">
                    <a:schemeClr val="tx2">
                      <a:lumMod val="75000"/>
                    </a:schemeClr>
                  </a:gs>
                  <a:gs pos="76000">
                    <a:schemeClr val="tx2">
                      <a:lumMod val="75000"/>
                    </a:schemeClr>
                  </a:gs>
                  <a:gs pos="51000">
                    <a:schemeClr val="tx2">
                      <a:lumMod val="60000"/>
                      <a:lumOff val="40000"/>
                    </a:schemeClr>
                  </a:gs>
                  <a:gs pos="100000">
                    <a:schemeClr val="tx2">
                      <a:lumMod val="50000"/>
                    </a:schemeClr>
                  </a:gs>
                </a:gsLst>
                <a:lin ang="10800000" scaled="1"/>
              </a:gradFill>
              <a:ln w="9525" cap="flat" cmpd="sng" algn="ctr">
                <a:solidFill>
                  <a:schemeClr val="lt1">
                    <a:alpha val="50000"/>
                  </a:schemeClr>
                </a:solidFill>
                <a:round/>
              </a:ln>
              <a:effectLst/>
            </c:spPr>
          </c:dPt>
          <c:dPt>
            <c:idx val="3"/>
            <c:invertIfNegative val="0"/>
            <c:bubble3D val="0"/>
            <c:spPr>
              <a:gradFill>
                <a:gsLst>
                  <a:gs pos="0">
                    <a:schemeClr val="tx2">
                      <a:lumMod val="50000"/>
                    </a:schemeClr>
                  </a:gs>
                  <a:gs pos="24000">
                    <a:schemeClr val="tx2">
                      <a:lumMod val="75000"/>
                    </a:schemeClr>
                  </a:gs>
                  <a:gs pos="76000">
                    <a:schemeClr val="tx2">
                      <a:lumMod val="75000"/>
                    </a:schemeClr>
                  </a:gs>
                  <a:gs pos="51000">
                    <a:schemeClr val="tx2">
                      <a:lumMod val="60000"/>
                      <a:lumOff val="40000"/>
                    </a:schemeClr>
                  </a:gs>
                  <a:gs pos="100000">
                    <a:schemeClr val="tx2">
                      <a:lumMod val="50000"/>
                    </a:schemeClr>
                  </a:gs>
                </a:gsLst>
                <a:lin ang="10800000" scaled="1"/>
              </a:gradFill>
              <a:ln w="9525" cap="flat" cmpd="sng" algn="ctr">
                <a:solidFill>
                  <a:schemeClr val="lt1">
                    <a:alpha val="50000"/>
                  </a:schemeClr>
                </a:solidFill>
                <a:round/>
              </a:ln>
              <a:effectLst/>
            </c:spPr>
          </c:dPt>
          <c:dLbls>
            <c:dLbl>
              <c:idx val="0"/>
              <c:layout>
                <c:manualLayout>
                  <c:x val="0.00602065921771819"/>
                  <c:y val="0.107621867266592"/>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800" b="1" i="0" u="none" strike="noStrike" kern="1200" baseline="0">
                      <a:solidFill>
                        <a:schemeClr val="lt1"/>
                      </a:solidFill>
                      <a:latin typeface="+mn-lt"/>
                      <a:ea typeface="+mn-ea"/>
                      <a:cs typeface="+mn-cs"/>
                    </a:defRPr>
                  </a:pPr>
                </a:p>
              </c:txPr>
              <c:dLblPos val="outEnd"/>
              <c:showLegendKey val="0"/>
              <c:showVal val="1"/>
              <c:showCatName val="0"/>
              <c:showSerName val="0"/>
              <c:showPercent val="0"/>
              <c:showBubbleSize val="0"/>
              <c:extLst>
                <c:ext xmlns:c15="http://schemas.microsoft.com/office/drawing/2012/chart" uri="{CE6537A1-D6FC-4f65-9D91-7224C49458BB}">
                  <c15:layout>
                    <c:manualLayout>
                      <c:w val="0.0874585559405917"/>
                      <c:h val="0.0765833070866142"/>
                    </c:manualLayout>
                  </c15:layout>
                </c:ext>
              </c:extLst>
            </c:dLbl>
            <c:dLbl>
              <c:idx val="1"/>
              <c:layout>
                <c:manualLayout>
                  <c:x val="0"/>
                  <c:y val="0.11321160854893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240818783865141"/>
                  <c:y val="0.11321160854893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8.82992007106504e-17"/>
                  <c:y val="0.09035446569178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800" b="1" i="0" u="none" strike="noStrike" kern="1200" baseline="0">
                    <a:solidFill>
                      <a:schemeClr val="lt1"/>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50000"/>
                          <a:lumOff val="50000"/>
                        </a:schemeClr>
                      </a:solidFill>
                      <a:prstDash val="solid"/>
                      <a:round/>
                    </a:ln>
                    <a:effectLst/>
                  </c:spPr>
                </c15:leaderLines>
              </c:ext>
            </c:extLst>
          </c:dLbls>
          <c:cat>
            <c:strRef>
              <c:f>Sheet11!$B$8:$E$8</c:f>
              <c:strCache>
                <c:ptCount val="4"/>
                <c:pt idx="0">
                  <c:v>农林类</c:v>
                </c:pt>
                <c:pt idx="1">
                  <c:v>工程类</c:v>
                </c:pt>
                <c:pt idx="2">
                  <c:v>信息类</c:v>
                </c:pt>
                <c:pt idx="3">
                  <c:v>平均就业率</c:v>
                </c:pt>
              </c:strCache>
            </c:strRef>
          </c:cat>
          <c:val>
            <c:numRef>
              <c:f>Sheet11!$B$9:$E$9</c:f>
              <c:numCache>
                <c:formatCode>0.00%</c:formatCode>
                <c:ptCount val="4"/>
                <c:pt idx="0">
                  <c:v>0.960972017673049</c:v>
                </c:pt>
                <c:pt idx="1">
                  <c:v>0.9573055028463</c:v>
                </c:pt>
                <c:pt idx="2">
                  <c:v>0.977653631284916</c:v>
                </c:pt>
                <c:pt idx="3">
                  <c:v>0.960632960247009</c:v>
                </c:pt>
              </c:numCache>
            </c:numRef>
          </c:val>
        </c:ser>
        <c:ser>
          <c:idx val="1"/>
          <c:order val="1"/>
          <c:tx>
            <c:strRef>
              <c:f>Sheet11!$A$10</c:f>
              <c:strCache>
                <c:ptCount val="1"/>
                <c:pt idx="0">
                  <c:v>汉族就业率</c:v>
                </c:pt>
              </c:strCache>
            </c:strRef>
          </c:tx>
          <c:spPr>
            <a:gradFill>
              <a:gsLst>
                <a:gs pos="0">
                  <a:schemeClr val="accent6">
                    <a:lumMod val="50000"/>
                  </a:schemeClr>
                </a:gs>
                <a:gs pos="24000">
                  <a:schemeClr val="accent6">
                    <a:lumMod val="75000"/>
                  </a:schemeClr>
                </a:gs>
                <a:gs pos="76000">
                  <a:schemeClr val="accent6">
                    <a:lumMod val="75000"/>
                  </a:schemeClr>
                </a:gs>
                <a:gs pos="51000">
                  <a:schemeClr val="accent6">
                    <a:lumMod val="60000"/>
                    <a:lumOff val="40000"/>
                  </a:schemeClr>
                </a:gs>
                <a:gs pos="100000">
                  <a:schemeClr val="accent6">
                    <a:lumMod val="50000"/>
                  </a:schemeClr>
                </a:gs>
              </a:gsLst>
              <a:lin ang="10800000" scaled="1"/>
            </a:gra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800" b="1" i="0" u="none" strike="noStrike" kern="1200" baseline="0">
                    <a:solidFill>
                      <a:schemeClr val="lt1"/>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50000"/>
                          <a:lumOff val="50000"/>
                        </a:schemeClr>
                      </a:solidFill>
                      <a:prstDash val="solid"/>
                      <a:round/>
                    </a:ln>
                    <a:effectLst/>
                  </c:spPr>
                </c15:leaderLines>
              </c:ext>
            </c:extLst>
          </c:dLbls>
          <c:cat>
            <c:strRef>
              <c:f>Sheet11!$B$8:$E$8</c:f>
              <c:strCache>
                <c:ptCount val="4"/>
                <c:pt idx="0">
                  <c:v>农林类</c:v>
                </c:pt>
                <c:pt idx="1">
                  <c:v>工程类</c:v>
                </c:pt>
                <c:pt idx="2">
                  <c:v>信息类</c:v>
                </c:pt>
                <c:pt idx="3">
                  <c:v>平均就业率</c:v>
                </c:pt>
              </c:strCache>
            </c:strRef>
          </c:cat>
          <c:val>
            <c:numRef>
              <c:f>Sheet11!$B$10:$E$10</c:f>
              <c:numCache>
                <c:formatCode>0.00%</c:formatCode>
                <c:ptCount val="4"/>
                <c:pt idx="0">
                  <c:v>0.967741935483871</c:v>
                </c:pt>
                <c:pt idx="1">
                  <c:v>0.960526315789474</c:v>
                </c:pt>
                <c:pt idx="2">
                  <c:v>0.979452054794521</c:v>
                </c:pt>
                <c:pt idx="3">
                  <c:v>0.965593295103661</c:v>
                </c:pt>
              </c:numCache>
            </c:numRef>
          </c:val>
        </c:ser>
        <c:ser>
          <c:idx val="2"/>
          <c:order val="2"/>
          <c:tx>
            <c:strRef>
              <c:f>Sheet11!$A$11</c:f>
              <c:strCache>
                <c:ptCount val="1"/>
                <c:pt idx="0">
                  <c:v>少数民族就业率</c:v>
                </c:pt>
              </c:strCache>
            </c:strRef>
          </c:tx>
          <c:spPr>
            <a:gradFill>
              <a:gsLst>
                <a:gs pos="0">
                  <a:schemeClr val="accent3">
                    <a:lumMod val="50000"/>
                  </a:schemeClr>
                </a:gs>
                <a:gs pos="24000">
                  <a:schemeClr val="accent3">
                    <a:lumMod val="75000"/>
                  </a:schemeClr>
                </a:gs>
                <a:gs pos="76000">
                  <a:schemeClr val="accent3">
                    <a:lumMod val="75000"/>
                  </a:schemeClr>
                </a:gs>
                <a:gs pos="51000">
                  <a:schemeClr val="accent3">
                    <a:lumMod val="60000"/>
                    <a:lumOff val="40000"/>
                  </a:schemeClr>
                </a:gs>
                <a:gs pos="100000">
                  <a:schemeClr val="accent3">
                    <a:lumMod val="50000"/>
                  </a:schemeClr>
                </a:gs>
              </a:gsLst>
              <a:lin ang="10800000" scaled="1"/>
            </a:gra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800" b="1" i="0" u="none" strike="noStrike" kern="1200" baseline="0">
                    <a:solidFill>
                      <a:schemeClr val="lt1"/>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50000"/>
                          <a:lumOff val="50000"/>
                        </a:schemeClr>
                      </a:solidFill>
                      <a:prstDash val="solid"/>
                      <a:round/>
                    </a:ln>
                    <a:effectLst/>
                  </c:spPr>
                </c15:leaderLines>
              </c:ext>
            </c:extLst>
          </c:dLbls>
          <c:cat>
            <c:strRef>
              <c:f>Sheet11!$B$8:$E$8</c:f>
              <c:strCache>
                <c:ptCount val="4"/>
                <c:pt idx="0">
                  <c:v>农林类</c:v>
                </c:pt>
                <c:pt idx="1">
                  <c:v>工程类</c:v>
                </c:pt>
                <c:pt idx="2">
                  <c:v>信息类</c:v>
                </c:pt>
                <c:pt idx="3">
                  <c:v>平均就业率</c:v>
                </c:pt>
              </c:strCache>
            </c:strRef>
          </c:cat>
          <c:val>
            <c:numRef>
              <c:f>Sheet11!$B$11:$E$11</c:f>
              <c:numCache>
                <c:formatCode>0.00%</c:formatCode>
                <c:ptCount val="4"/>
                <c:pt idx="0">
                  <c:v>0.906040268456376</c:v>
                </c:pt>
                <c:pt idx="1">
                  <c:v>0.936619718309859</c:v>
                </c:pt>
                <c:pt idx="2">
                  <c:v>0.96969696969697</c:v>
                </c:pt>
                <c:pt idx="3">
                  <c:v>0.925925925925926</c:v>
                </c:pt>
              </c:numCache>
            </c:numRef>
          </c:val>
        </c:ser>
        <c:dLbls>
          <c:showLegendKey val="0"/>
          <c:showVal val="1"/>
          <c:showCatName val="0"/>
          <c:showSerName val="0"/>
          <c:showPercent val="0"/>
          <c:showBubbleSize val="0"/>
        </c:dLbls>
        <c:gapWidth val="65"/>
        <c:overlap val="-10"/>
        <c:axId val="404653184"/>
        <c:axId val="404654720"/>
      </c:barChart>
      <c:catAx>
        <c:axId val="404653184"/>
        <c:scaling>
          <c:orientation val="minMax"/>
        </c:scaling>
        <c:delete val="0"/>
        <c:axPos val="b"/>
        <c:numFmt formatCode="General" sourceLinked="0"/>
        <c:majorTickMark val="none"/>
        <c:minorTickMark val="none"/>
        <c:tickLblPos val="nextTo"/>
        <c:spPr>
          <a:noFill/>
          <a:ln w="19050" cap="flat" cmpd="sng" algn="ctr">
            <a:solidFill>
              <a:schemeClr val="dk1">
                <a:lumMod val="75000"/>
                <a:lumOff val="25000"/>
              </a:schemeClr>
            </a:solidFill>
            <a:prstDash val="solid"/>
            <a:round/>
          </a:ln>
          <a:effectLst/>
        </c:spPr>
        <c:txPr>
          <a:bodyPr rot="-6000000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p>
        </c:txPr>
        <c:crossAx val="404654720"/>
        <c:crosses val="autoZero"/>
        <c:auto val="1"/>
        <c:lblAlgn val="ctr"/>
        <c:lblOffset val="100"/>
        <c:noMultiLvlLbl val="0"/>
      </c:catAx>
      <c:valAx>
        <c:axId val="40465472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olid"/>
              <a:round/>
            </a:ln>
            <a:effectLst/>
          </c:spPr>
        </c:majorGridlines>
        <c:title>
          <c:tx>
            <c:rich>
              <a:bodyPr rot="-5400000" spcFirstLastPara="1" vertOverflow="ellipsis" vert="horz" wrap="square" anchor="ctr" anchorCtr="1"/>
              <a:lstStyle/>
              <a:p>
                <a:pPr>
                  <a:defRPr lang="zh-CN" sz="900" b="1" i="0" u="none" strike="noStrike" kern="1200" baseline="0">
                    <a:solidFill>
                      <a:schemeClr val="dk1">
                        <a:lumMod val="75000"/>
                        <a:lumOff val="25000"/>
                      </a:schemeClr>
                    </a:solidFill>
                    <a:latin typeface="+mn-lt"/>
                    <a:ea typeface="+mn-ea"/>
                    <a:cs typeface="+mn-cs"/>
                  </a:defRPr>
                </a:pPr>
                <a:r>
                  <a:rPr lang="zh-CN"/>
                  <a:t>就业率</a:t>
                </a:r>
                <a:endParaRPr lang="zh-CN"/>
              </a:p>
            </c:rich>
          </c:tx>
          <c:layout/>
          <c:overlay val="0"/>
          <c:spPr>
            <a:noFill/>
            <a:ln>
              <a:noFill/>
            </a:ln>
            <a:effectLst/>
          </c:spPr>
        </c:title>
        <c:numFmt formatCode="0.00%"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04653184"/>
        <c:crosses val="autoZero"/>
        <c:crossBetween val="between"/>
      </c:valAx>
      <c:dTable>
        <c:showHorzBorder val="1"/>
        <c:showVertBorder val="1"/>
        <c:showOutline val="1"/>
        <c:showKeys val="1"/>
        <c:spPr>
          <a:noFill/>
          <a:ln w="9525" cap="flat" cmpd="sng" algn="ctr">
            <a:solidFill>
              <a:schemeClr val="dk1">
                <a:lumMod val="35000"/>
                <a:lumOff val="65000"/>
              </a:schemeClr>
            </a:solidFill>
            <a:prstDash val="solid"/>
            <a:round/>
          </a:ln>
          <a:effectLst/>
        </c:spPr>
        <c:txPr>
          <a:bodyPr rot="0" spcFirstLastPara="1"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dTable>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prstDash val="solid"/>
      <a:round/>
    </a:ln>
    <a:effectLst/>
  </c:spPr>
  <c:txPr>
    <a:bodyPr/>
    <a:lstStyle/>
    <a:p>
      <a:pPr>
        <a:defRPr lang="zh-CN"/>
      </a:pPr>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0.35277</cdr:x>
      <cdr:y>0.5978</cdr:y>
    </cdr:from>
    <cdr:to>
      <cdr:x>0.61402</cdr:x>
      <cdr:y>0.75527</cdr:y>
    </cdr:to>
    <cdr:sp>
      <cdr:nvSpPr>
        <cdr:cNvPr id="2" name="矩形 1"/>
        <cdr:cNvSpPr/>
      </cdr:nvSpPr>
      <cdr:spPr xmlns:a="http://schemas.openxmlformats.org/drawingml/2006/main">
        <a:xfrm xmlns:a="http://schemas.openxmlformats.org/drawingml/2006/main">
          <a:off x="1685676" y="1630020"/>
          <a:ext cx="1248355" cy="429370"/>
        </a:xfrm>
        <a:prstGeom xmlns:a="http://schemas.openxmlformats.org/drawingml/2006/main" prst="rect">
          <a:avLst/>
        </a:prstGeom>
      </cdr:spPr>
      <cdr:txBody xmlns:a="http://schemas.openxmlformats.org/drawingml/2006/main">
        <a:bodyPr vertOverflow="clip" vert="horz" wrap="square" lIns="45720" tIns="45720" rIns="45720" bIns="45720" rtlCol="0" anchor="t" anchorCtr="0">
          <a:normAutofit/>
        </a:bodyPr>
        <a:lstStyle/>
        <a:p>
          <a:pPr algn="ctr"/>
          <a:r>
            <a:rPr lang="zh-CN" altLang="en-US" sz="1000">
              <a:latin typeface="黑体" panose="02010609060101010101" charset="-122"/>
              <a:ea typeface="黑体" panose="02010609060101010101" charset="-122"/>
            </a:rPr>
            <a:t>普通高中生，</a:t>
          </a:r>
          <a:r>
            <a:rPr lang="en-US" altLang="zh-CN" sz="1000">
              <a:latin typeface="黑体" panose="02010609060101010101" charset="-122"/>
              <a:ea typeface="黑体" panose="02010609060101010101" charset="-122"/>
            </a:rPr>
            <a:t>1772</a:t>
          </a:r>
          <a:r>
            <a:rPr lang="zh-CN" altLang="en-US" sz="1000">
              <a:latin typeface="黑体" panose="02010609060101010101" charset="-122"/>
              <a:ea typeface="黑体" panose="02010609060101010101" charset="-122"/>
            </a:rPr>
            <a:t>人，占</a:t>
          </a:r>
          <a:r>
            <a:rPr lang="en-US" altLang="zh-CN" sz="1000">
              <a:latin typeface="黑体" panose="02010609060101010101" charset="-122"/>
              <a:ea typeface="黑体" panose="02010609060101010101" charset="-122"/>
            </a:rPr>
            <a:t>68.39%</a:t>
          </a:r>
          <a:endParaRPr lang="zh-CN" altLang="en-US" sz="1000">
            <a:latin typeface="黑体" panose="02010609060101010101" charset="-122"/>
            <a:ea typeface="黑体" panose="02010609060101010101" charset="-122"/>
          </a:endParaRPr>
        </a:p>
      </cdr:txBody>
    </cdr:sp>
  </cdr:relSizeAnchor>
  <cdr:relSizeAnchor xmlns:cdr="http://schemas.openxmlformats.org/drawingml/2006/chartDrawing">
    <cdr:from>
      <cdr:x>0.07821</cdr:x>
      <cdr:y>0.14872</cdr:y>
    </cdr:from>
    <cdr:to>
      <cdr:x>0.27124</cdr:x>
      <cdr:y>0.30036</cdr:y>
    </cdr:to>
    <cdr:sp>
      <cdr:nvSpPr>
        <cdr:cNvPr id="3" name="矩形 2"/>
        <cdr:cNvSpPr/>
      </cdr:nvSpPr>
      <cdr:spPr xmlns:a="http://schemas.openxmlformats.org/drawingml/2006/main">
        <a:xfrm xmlns:a="http://schemas.openxmlformats.org/drawingml/2006/main">
          <a:off x="373711" y="405517"/>
          <a:ext cx="922352" cy="413468"/>
        </a:xfrm>
        <a:prstGeom xmlns:a="http://schemas.openxmlformats.org/drawingml/2006/main" prst="rect">
          <a:avLst/>
        </a:prstGeom>
      </cdr:spPr>
      <cdr:txBody xmlns:a="http://schemas.openxmlformats.org/drawingml/2006/main">
        <a:bodyPr vertOverflow="clip" vert="horz" wrap="square" lIns="45720" tIns="45720" rIns="45720" bIns="45720" rtlCol="0" anchor="t" anchorCtr="0">
          <a:normAutofit/>
        </a:bodyPr>
        <a:lstStyle/>
        <a:p>
          <a:endParaRPr lang="zh-CN" altLang="en-US" sz="1100"/>
        </a:p>
      </cdr:txBody>
    </cdr:sp>
  </cdr:relSizeAnchor>
  <cdr:relSizeAnchor xmlns:cdr="http://schemas.openxmlformats.org/drawingml/2006/chartDrawing">
    <cdr:from>
      <cdr:x>0.39336</cdr:x>
      <cdr:y>0.63101</cdr:y>
    </cdr:from>
    <cdr:to>
      <cdr:x>0.65461</cdr:x>
      <cdr:y>0.78848</cdr:y>
    </cdr:to>
    <cdr:sp>
      <cdr:nvSpPr>
        <cdr:cNvPr id="4" name="矩形 3"/>
        <cdr:cNvSpPr/>
      </cdr:nvSpPr>
      <cdr:spPr xmlns:a="http://schemas.openxmlformats.org/drawingml/2006/main">
        <a:xfrm xmlns:a="http://schemas.openxmlformats.org/drawingml/2006/main">
          <a:off x="1879599" y="1720576"/>
          <a:ext cx="1248355" cy="429370"/>
        </a:xfrm>
        <a:prstGeom xmlns:a="http://schemas.openxmlformats.org/drawingml/2006/main" prst="rect">
          <a:avLst/>
        </a:prstGeom>
      </cdr:spPr>
    </cdr:sp>
  </cdr:relSizeAnchor>
  <cdr:relSizeAnchor xmlns:cdr="http://schemas.openxmlformats.org/drawingml/2006/chartDrawing">
    <cdr:from>
      <cdr:x>0.48423</cdr:x>
      <cdr:y>0.33827</cdr:y>
    </cdr:from>
    <cdr:to>
      <cdr:x>0.69556</cdr:x>
      <cdr:y>0.49574</cdr:y>
    </cdr:to>
    <cdr:sp>
      <cdr:nvSpPr>
        <cdr:cNvPr id="5" name="矩形 4"/>
        <cdr:cNvSpPr/>
      </cdr:nvSpPr>
      <cdr:spPr xmlns:a="http://schemas.openxmlformats.org/drawingml/2006/main">
        <a:xfrm xmlns:a="http://schemas.openxmlformats.org/drawingml/2006/main">
          <a:off x="2313830" y="922353"/>
          <a:ext cx="1009815" cy="429370"/>
        </a:xfrm>
        <a:prstGeom xmlns:a="http://schemas.openxmlformats.org/drawingml/2006/main" prst="rect">
          <a:avLst/>
        </a:prstGeom>
      </cdr:spPr>
      <cdr:txBody xmlns:a="http://schemas.openxmlformats.org/drawingml/2006/main">
        <a:bodyPr vertOverflow="clip" vert="horz" wrap="square" lIns="45720" tIns="45720" rIns="45720" bIns="45720" rtlCol="0" anchor="t" anchorCtr="0">
          <a:normAutofit/>
        </a:bodyPr>
        <a:lstStyle/>
        <a:p>
          <a:pPr algn="ctr"/>
          <a:r>
            <a:rPr lang="zh-CN" altLang="en-US" sz="1000">
              <a:latin typeface="黑体" panose="02010609060101010101" charset="-122"/>
              <a:ea typeface="黑体" panose="02010609060101010101" charset="-122"/>
            </a:rPr>
            <a:t>三校生，</a:t>
          </a:r>
          <a:r>
            <a:rPr lang="en-US" altLang="zh-CN" sz="1000">
              <a:latin typeface="黑体" panose="02010609060101010101" charset="-122"/>
              <a:ea typeface="黑体" panose="02010609060101010101" charset="-122"/>
            </a:rPr>
            <a:t>819</a:t>
          </a:r>
          <a:endParaRPr lang="en-US" altLang="zh-CN" sz="1000">
            <a:latin typeface="黑体" panose="02010609060101010101" charset="-122"/>
            <a:ea typeface="黑体" panose="02010609060101010101" charset="-122"/>
          </a:endParaRPr>
        </a:p>
        <a:p>
          <a:pPr algn="ctr"/>
          <a:r>
            <a:rPr lang="zh-CN" altLang="en-US" sz="1000">
              <a:latin typeface="黑体" panose="02010609060101010101" charset="-122"/>
              <a:ea typeface="黑体" panose="02010609060101010101" charset="-122"/>
            </a:rPr>
            <a:t>人，占</a:t>
          </a:r>
          <a:r>
            <a:rPr lang="en-US" altLang="zh-CN" sz="1000">
              <a:latin typeface="黑体" panose="02010609060101010101" charset="-122"/>
              <a:ea typeface="黑体" panose="02010609060101010101" charset="-122"/>
            </a:rPr>
            <a:t>31.61%</a:t>
          </a:r>
          <a:endParaRPr lang="zh-CN" altLang="en-US" sz="1000">
            <a:latin typeface="黑体" panose="02010609060101010101" charset="-122"/>
            <a:ea typeface="黑体" panose="02010609060101010101" charset="-122"/>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8B2E020-D0B8-46E4-A8D1-2D9FABA36800}">
  <ds:schemaRefs/>
</ds:datastoreItem>
</file>

<file path=docProps/app.xml><?xml version="1.0" encoding="utf-8"?>
<Properties xmlns="http://schemas.openxmlformats.org/officeDocument/2006/extended-properties" xmlns:vt="http://schemas.openxmlformats.org/officeDocument/2006/docPropsVTypes">
  <Template>Normal</Template>
  <Pages>31</Pages>
  <Words>3352</Words>
  <Characters>19112</Characters>
  <Lines>159</Lines>
  <Paragraphs>44</Paragraphs>
  <TotalTime>492</TotalTime>
  <ScaleCrop>false</ScaleCrop>
  <LinksUpToDate>false</LinksUpToDate>
  <CharactersWithSpaces>22420</CharactersWithSpaces>
  <Application>WPS Office_10.1.0.7469_F1E327BC-269C-435d-A152-05C5408002CA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2018-12-26T07:20:00Z</dcterms:created>
  <dc:creator>jcm</dc:creator>
  <cp:lastModifiedBy>Administrator</cp:lastModifiedBy>
  <cp:lastPrinted>2018-12-29T08:56:00Z</cp:lastPrinted>
  <dcterms:modified xsi:type="dcterms:W3CDTF">2018-12-30T12:11:11Z</dcterms:modified>
  <cp:revision>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